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92A1" w14:textId="77777777" w:rsidR="004D00A8" w:rsidRDefault="004D00A8" w:rsidP="004D00A8">
      <w:pPr>
        <w:pStyle w:val="Caption"/>
        <w:keepNext/>
        <w:spacing w:after="0"/>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PUBLIC SECTOR REFORM SECRETARIAT</w:t>
      </w:r>
    </w:p>
    <w:p w14:paraId="5317F6D7" w14:textId="77777777" w:rsidR="004D00A8" w:rsidRDefault="004D00A8" w:rsidP="004D00A8">
      <w:pPr>
        <w:spacing w:after="0"/>
        <w:jc w:val="center"/>
        <w:rPr>
          <w:rFonts w:ascii="Times New Roman" w:hAnsi="Times New Roman" w:cs="Times New Roman"/>
          <w:b/>
          <w:bCs/>
          <w:sz w:val="24"/>
          <w:szCs w:val="24"/>
        </w:rPr>
      </w:pPr>
      <w:r>
        <w:rPr>
          <w:rFonts w:ascii="Times New Roman" w:hAnsi="Times New Roman" w:cs="Times New Roman"/>
          <w:b/>
          <w:bCs/>
          <w:sz w:val="24"/>
          <w:szCs w:val="24"/>
        </w:rPr>
        <w:t>OFFICE OF THE PRESIDENT</w:t>
      </w:r>
    </w:p>
    <w:p w14:paraId="59657377" w14:textId="77777777" w:rsidR="004D00A8" w:rsidRDefault="004D00A8" w:rsidP="004D00A8">
      <w:pPr>
        <w:spacing w:after="0"/>
        <w:jc w:val="center"/>
        <w:rPr>
          <w:rFonts w:ascii="Times New Roman" w:hAnsi="Times New Roman" w:cs="Times New Roman"/>
          <w:b/>
          <w:bCs/>
          <w:sz w:val="24"/>
          <w:szCs w:val="24"/>
        </w:rPr>
      </w:pPr>
      <w:bookmarkStart w:id="0" w:name="_Hlk123719649"/>
      <w:r>
        <w:rPr>
          <w:rFonts w:ascii="Times New Roman" w:hAnsi="Times New Roman" w:cs="Times New Roman"/>
          <w:b/>
          <w:bCs/>
          <w:sz w:val="24"/>
          <w:szCs w:val="24"/>
        </w:rPr>
        <w:t>GHANA OPEN GOVERNMENT PARTNERSHIP (OGP) FOURTH NATIONAL ACTION PLAN (NAP-4)</w:t>
      </w:r>
    </w:p>
    <w:p w14:paraId="35C9CBB1" w14:textId="5DD8FD6C" w:rsidR="000B1CBC" w:rsidRDefault="000B1CBC" w:rsidP="004D00A8">
      <w:pPr>
        <w:spacing w:after="0"/>
        <w:jc w:val="center"/>
        <w:rPr>
          <w:rFonts w:ascii="Times New Roman" w:hAnsi="Times New Roman" w:cs="Times New Roman"/>
          <w:b/>
          <w:bCs/>
          <w:sz w:val="24"/>
          <w:szCs w:val="24"/>
        </w:rPr>
      </w:pPr>
      <w:r>
        <w:rPr>
          <w:rFonts w:ascii="Times New Roman" w:hAnsi="Times New Roman" w:cs="Times New Roman"/>
          <w:b/>
          <w:bCs/>
          <w:sz w:val="24"/>
          <w:szCs w:val="24"/>
        </w:rPr>
        <w:t>IMPLEMENTATION STATUS OF COMMITMENTS ON THE FISCAL RESPONSIBILITY ACT AND PETROLEUM SALES</w:t>
      </w:r>
    </w:p>
    <w:bookmarkEnd w:id="0"/>
    <w:p w14:paraId="240B8282" w14:textId="77777777" w:rsidR="004D00A8" w:rsidRDefault="004D00A8" w:rsidP="004D00A8">
      <w:pPr>
        <w:spacing w:after="0"/>
        <w:jc w:val="center"/>
        <w:rPr>
          <w:rFonts w:ascii="Times New Roman" w:hAnsi="Times New Roman" w:cs="Times New Roman"/>
          <w:b/>
          <w:bCs/>
          <w:sz w:val="24"/>
          <w:szCs w:val="24"/>
        </w:rPr>
      </w:pPr>
    </w:p>
    <w:p w14:paraId="689A8CBE" w14:textId="77777777" w:rsidR="004D00A8" w:rsidRDefault="004D00A8" w:rsidP="004D00A8">
      <w:pPr>
        <w:spacing w:after="0"/>
        <w:jc w:val="center"/>
        <w:rPr>
          <w:rFonts w:ascii="Times New Roman" w:hAnsi="Times New Roman" w:cs="Times New Roman"/>
          <w:b/>
          <w:bCs/>
          <w:sz w:val="24"/>
          <w:szCs w:val="24"/>
        </w:rPr>
      </w:pPr>
      <w:r>
        <w:rPr>
          <w:rFonts w:ascii="Times New Roman" w:hAnsi="Times New Roman" w:cs="Times New Roman"/>
          <w:b/>
          <w:bCs/>
          <w:sz w:val="24"/>
          <w:szCs w:val="24"/>
        </w:rPr>
        <w:t>MONITORING TEMPLATE</w:t>
      </w:r>
    </w:p>
    <w:tbl>
      <w:tblPr>
        <w:tblStyle w:val="TableGrid"/>
        <w:tblW w:w="13702" w:type="dxa"/>
        <w:tblLook w:val="04A0" w:firstRow="1" w:lastRow="0" w:firstColumn="1" w:lastColumn="0" w:noHBand="0" w:noVBand="1"/>
      </w:tblPr>
      <w:tblGrid>
        <w:gridCol w:w="2235"/>
        <w:gridCol w:w="1224"/>
        <w:gridCol w:w="1209"/>
        <w:gridCol w:w="1025"/>
        <w:gridCol w:w="1085"/>
        <w:gridCol w:w="1861"/>
        <w:gridCol w:w="2144"/>
        <w:gridCol w:w="1369"/>
        <w:gridCol w:w="1550"/>
      </w:tblGrid>
      <w:tr w:rsidR="004115A1" w:rsidRPr="004115A1" w14:paraId="4B78F8DD" w14:textId="77777777" w:rsidTr="004D00A8">
        <w:trPr>
          <w:trHeight w:val="266"/>
        </w:trPr>
        <w:tc>
          <w:tcPr>
            <w:tcW w:w="2163" w:type="dxa"/>
            <w:tcBorders>
              <w:top w:val="single" w:sz="4" w:space="0" w:color="auto"/>
              <w:left w:val="single" w:sz="4" w:space="0" w:color="auto"/>
              <w:bottom w:val="single" w:sz="4" w:space="0" w:color="auto"/>
              <w:right w:val="single" w:sz="4" w:space="0" w:color="auto"/>
            </w:tcBorders>
          </w:tcPr>
          <w:p w14:paraId="283CA8BD" w14:textId="77777777" w:rsidR="004D00A8" w:rsidRPr="004115A1" w:rsidRDefault="004D00A8">
            <w:pPr>
              <w:rPr>
                <w:rFonts w:ascii="Arial" w:hAnsi="Arial" w:cs="Arial"/>
                <w:b/>
                <w:sz w:val="16"/>
                <w:szCs w:val="16"/>
              </w:rPr>
            </w:pPr>
          </w:p>
        </w:tc>
        <w:tc>
          <w:tcPr>
            <w:tcW w:w="11539" w:type="dxa"/>
            <w:gridSpan w:val="8"/>
            <w:tcBorders>
              <w:top w:val="single" w:sz="4" w:space="0" w:color="auto"/>
              <w:left w:val="single" w:sz="4" w:space="0" w:color="auto"/>
              <w:bottom w:val="single" w:sz="4" w:space="0" w:color="auto"/>
              <w:right w:val="single" w:sz="4" w:space="0" w:color="auto"/>
            </w:tcBorders>
            <w:hideMark/>
          </w:tcPr>
          <w:p w14:paraId="3A222883" w14:textId="77777777" w:rsidR="004D00A8" w:rsidRPr="004115A1" w:rsidRDefault="004D00A8">
            <w:pPr>
              <w:rPr>
                <w:rFonts w:ascii="Arial" w:hAnsi="Arial" w:cs="Arial"/>
                <w:b/>
                <w:sz w:val="16"/>
                <w:szCs w:val="16"/>
              </w:rPr>
            </w:pPr>
            <w:r w:rsidRPr="004115A1">
              <w:rPr>
                <w:rFonts w:ascii="Arial" w:hAnsi="Arial" w:cs="Arial"/>
                <w:b/>
                <w:sz w:val="16"/>
                <w:szCs w:val="16"/>
              </w:rPr>
              <w:t>2.3. THE FISCAL RESPONSIBILITY ACT 2018</w:t>
            </w:r>
          </w:p>
        </w:tc>
      </w:tr>
      <w:tr w:rsidR="004115A1" w:rsidRPr="004115A1" w14:paraId="47018F62" w14:textId="77777777" w:rsidTr="004D00A8">
        <w:trPr>
          <w:trHeight w:val="701"/>
        </w:trPr>
        <w:tc>
          <w:tcPr>
            <w:tcW w:w="2163" w:type="dxa"/>
            <w:tcBorders>
              <w:top w:val="single" w:sz="4" w:space="0" w:color="auto"/>
              <w:left w:val="single" w:sz="4" w:space="0" w:color="auto"/>
              <w:bottom w:val="single" w:sz="4" w:space="0" w:color="auto"/>
              <w:right w:val="single" w:sz="4" w:space="0" w:color="auto"/>
            </w:tcBorders>
            <w:hideMark/>
          </w:tcPr>
          <w:p w14:paraId="7AF016DD" w14:textId="77777777" w:rsidR="004D00A8" w:rsidRPr="004115A1" w:rsidRDefault="004D00A8">
            <w:pPr>
              <w:rPr>
                <w:rFonts w:ascii="Arial" w:hAnsi="Arial" w:cs="Arial"/>
                <w:b/>
                <w:sz w:val="16"/>
                <w:szCs w:val="16"/>
              </w:rPr>
            </w:pPr>
            <w:r w:rsidRPr="004115A1">
              <w:rPr>
                <w:rFonts w:ascii="Arial" w:hAnsi="Arial" w:cs="Arial"/>
                <w:b/>
                <w:sz w:val="16"/>
                <w:szCs w:val="16"/>
              </w:rPr>
              <w:t>COMMENTS/MILESTONES</w:t>
            </w:r>
          </w:p>
        </w:tc>
        <w:tc>
          <w:tcPr>
            <w:tcW w:w="1230" w:type="dxa"/>
            <w:tcBorders>
              <w:top w:val="single" w:sz="4" w:space="0" w:color="auto"/>
              <w:left w:val="single" w:sz="4" w:space="0" w:color="auto"/>
              <w:bottom w:val="single" w:sz="4" w:space="0" w:color="auto"/>
              <w:right w:val="single" w:sz="4" w:space="0" w:color="auto"/>
            </w:tcBorders>
            <w:hideMark/>
          </w:tcPr>
          <w:p w14:paraId="67AA21A8" w14:textId="77777777" w:rsidR="004D00A8" w:rsidRPr="004115A1" w:rsidRDefault="004D00A8">
            <w:pPr>
              <w:rPr>
                <w:rFonts w:ascii="Arial" w:hAnsi="Arial" w:cs="Arial"/>
                <w:b/>
                <w:sz w:val="16"/>
                <w:szCs w:val="16"/>
              </w:rPr>
            </w:pPr>
            <w:r w:rsidRPr="004115A1">
              <w:rPr>
                <w:rFonts w:ascii="Arial" w:hAnsi="Arial" w:cs="Arial"/>
                <w:b/>
                <w:sz w:val="16"/>
                <w:szCs w:val="16"/>
              </w:rPr>
              <w:t>INDICATOR</w:t>
            </w:r>
          </w:p>
        </w:tc>
        <w:tc>
          <w:tcPr>
            <w:tcW w:w="1227" w:type="dxa"/>
            <w:tcBorders>
              <w:top w:val="single" w:sz="4" w:space="0" w:color="auto"/>
              <w:left w:val="single" w:sz="4" w:space="0" w:color="auto"/>
              <w:bottom w:val="single" w:sz="4" w:space="0" w:color="auto"/>
              <w:right w:val="single" w:sz="4" w:space="0" w:color="auto"/>
            </w:tcBorders>
            <w:hideMark/>
          </w:tcPr>
          <w:p w14:paraId="04DA102A" w14:textId="77777777" w:rsidR="004D00A8" w:rsidRPr="004115A1" w:rsidRDefault="004D00A8">
            <w:pPr>
              <w:rPr>
                <w:rFonts w:ascii="Arial" w:hAnsi="Arial" w:cs="Arial"/>
                <w:b/>
                <w:sz w:val="16"/>
                <w:szCs w:val="16"/>
              </w:rPr>
            </w:pPr>
            <w:r w:rsidRPr="004115A1">
              <w:rPr>
                <w:rFonts w:ascii="Arial" w:hAnsi="Arial" w:cs="Arial"/>
                <w:b/>
                <w:sz w:val="16"/>
                <w:szCs w:val="16"/>
              </w:rPr>
              <w:t>DEFINITION</w:t>
            </w:r>
          </w:p>
        </w:tc>
        <w:tc>
          <w:tcPr>
            <w:tcW w:w="930" w:type="dxa"/>
            <w:tcBorders>
              <w:top w:val="single" w:sz="4" w:space="0" w:color="auto"/>
              <w:left w:val="single" w:sz="4" w:space="0" w:color="auto"/>
              <w:bottom w:val="single" w:sz="4" w:space="0" w:color="auto"/>
              <w:right w:val="single" w:sz="4" w:space="0" w:color="auto"/>
            </w:tcBorders>
            <w:hideMark/>
          </w:tcPr>
          <w:p w14:paraId="3CAABE7A" w14:textId="77777777" w:rsidR="004D00A8" w:rsidRPr="004115A1" w:rsidRDefault="004D00A8">
            <w:pPr>
              <w:rPr>
                <w:rFonts w:ascii="Arial" w:hAnsi="Arial" w:cs="Arial"/>
                <w:b/>
                <w:sz w:val="16"/>
                <w:szCs w:val="16"/>
              </w:rPr>
            </w:pPr>
            <w:r w:rsidRPr="004115A1">
              <w:rPr>
                <w:rFonts w:ascii="Arial" w:hAnsi="Arial" w:cs="Arial"/>
                <w:b/>
                <w:sz w:val="16"/>
                <w:szCs w:val="16"/>
              </w:rPr>
              <w:t>BASELINE 2021</w:t>
            </w:r>
          </w:p>
        </w:tc>
        <w:tc>
          <w:tcPr>
            <w:tcW w:w="1159" w:type="dxa"/>
            <w:tcBorders>
              <w:top w:val="single" w:sz="4" w:space="0" w:color="auto"/>
              <w:left w:val="single" w:sz="4" w:space="0" w:color="auto"/>
              <w:bottom w:val="single" w:sz="4" w:space="0" w:color="auto"/>
              <w:right w:val="single" w:sz="4" w:space="0" w:color="auto"/>
            </w:tcBorders>
            <w:hideMark/>
          </w:tcPr>
          <w:p w14:paraId="7D5A1007" w14:textId="77777777" w:rsidR="004D00A8" w:rsidRPr="004115A1" w:rsidRDefault="004D00A8">
            <w:pPr>
              <w:rPr>
                <w:rFonts w:ascii="Arial" w:hAnsi="Arial" w:cs="Arial"/>
                <w:b/>
                <w:sz w:val="16"/>
                <w:szCs w:val="16"/>
              </w:rPr>
            </w:pPr>
            <w:r w:rsidRPr="004115A1">
              <w:rPr>
                <w:rFonts w:ascii="Arial" w:hAnsi="Arial" w:cs="Arial"/>
                <w:b/>
                <w:sz w:val="16"/>
                <w:szCs w:val="16"/>
              </w:rPr>
              <w:t>END TARGET 2023</w:t>
            </w:r>
          </w:p>
        </w:tc>
        <w:tc>
          <w:tcPr>
            <w:tcW w:w="1951" w:type="dxa"/>
            <w:tcBorders>
              <w:top w:val="single" w:sz="4" w:space="0" w:color="auto"/>
              <w:left w:val="single" w:sz="4" w:space="0" w:color="auto"/>
              <w:bottom w:val="single" w:sz="4" w:space="0" w:color="auto"/>
              <w:right w:val="single" w:sz="4" w:space="0" w:color="auto"/>
            </w:tcBorders>
            <w:hideMark/>
          </w:tcPr>
          <w:p w14:paraId="0325E837" w14:textId="77777777" w:rsidR="004D00A8" w:rsidRPr="004115A1" w:rsidRDefault="004D00A8">
            <w:pPr>
              <w:rPr>
                <w:rFonts w:ascii="Arial" w:hAnsi="Arial" w:cs="Arial"/>
                <w:b/>
                <w:sz w:val="16"/>
                <w:szCs w:val="16"/>
              </w:rPr>
            </w:pPr>
            <w:r w:rsidRPr="004115A1">
              <w:rPr>
                <w:rFonts w:ascii="Arial" w:hAnsi="Arial" w:cs="Arial"/>
                <w:b/>
                <w:sz w:val="16"/>
                <w:szCs w:val="16"/>
              </w:rPr>
              <w:t>PROGRESS AS AT END JUNE, 2023</w:t>
            </w:r>
          </w:p>
        </w:tc>
        <w:tc>
          <w:tcPr>
            <w:tcW w:w="2221" w:type="dxa"/>
            <w:tcBorders>
              <w:top w:val="single" w:sz="4" w:space="0" w:color="auto"/>
              <w:left w:val="single" w:sz="4" w:space="0" w:color="auto"/>
              <w:bottom w:val="single" w:sz="4" w:space="0" w:color="auto"/>
              <w:right w:val="single" w:sz="4" w:space="0" w:color="auto"/>
            </w:tcBorders>
            <w:hideMark/>
          </w:tcPr>
          <w:p w14:paraId="604A2945" w14:textId="77777777" w:rsidR="004D00A8" w:rsidRPr="004115A1" w:rsidRDefault="004D00A8">
            <w:pPr>
              <w:rPr>
                <w:rFonts w:ascii="Arial" w:hAnsi="Arial" w:cs="Arial"/>
                <w:b/>
                <w:sz w:val="16"/>
                <w:szCs w:val="16"/>
              </w:rPr>
            </w:pPr>
            <w:r w:rsidRPr="004115A1">
              <w:rPr>
                <w:rFonts w:ascii="Arial" w:hAnsi="Arial" w:cs="Arial"/>
                <w:b/>
                <w:sz w:val="16"/>
                <w:szCs w:val="16"/>
              </w:rPr>
              <w:t>MEANS OF VERIFICATION</w:t>
            </w:r>
          </w:p>
        </w:tc>
        <w:tc>
          <w:tcPr>
            <w:tcW w:w="1405" w:type="dxa"/>
            <w:tcBorders>
              <w:top w:val="single" w:sz="4" w:space="0" w:color="auto"/>
              <w:left w:val="single" w:sz="4" w:space="0" w:color="auto"/>
              <w:bottom w:val="single" w:sz="4" w:space="0" w:color="auto"/>
              <w:right w:val="single" w:sz="4" w:space="0" w:color="auto"/>
            </w:tcBorders>
            <w:hideMark/>
          </w:tcPr>
          <w:p w14:paraId="181E2B1E" w14:textId="77777777" w:rsidR="004D00A8" w:rsidRPr="004115A1" w:rsidRDefault="004D00A8">
            <w:pPr>
              <w:rPr>
                <w:rFonts w:ascii="Arial" w:hAnsi="Arial" w:cs="Arial"/>
                <w:b/>
                <w:sz w:val="16"/>
                <w:szCs w:val="16"/>
              </w:rPr>
            </w:pPr>
            <w:r w:rsidRPr="004115A1">
              <w:rPr>
                <w:rFonts w:ascii="Arial" w:hAnsi="Arial" w:cs="Arial"/>
                <w:b/>
                <w:sz w:val="16"/>
                <w:szCs w:val="16"/>
              </w:rPr>
              <w:t>REMARK (NEXT STEPS)</w:t>
            </w:r>
          </w:p>
        </w:tc>
        <w:tc>
          <w:tcPr>
            <w:tcW w:w="1416" w:type="dxa"/>
            <w:tcBorders>
              <w:top w:val="single" w:sz="4" w:space="0" w:color="auto"/>
              <w:left w:val="single" w:sz="4" w:space="0" w:color="auto"/>
              <w:bottom w:val="single" w:sz="4" w:space="0" w:color="auto"/>
              <w:right w:val="single" w:sz="4" w:space="0" w:color="auto"/>
            </w:tcBorders>
            <w:hideMark/>
          </w:tcPr>
          <w:p w14:paraId="5868C95B" w14:textId="77777777" w:rsidR="004D00A8" w:rsidRPr="004115A1" w:rsidRDefault="004D00A8">
            <w:pPr>
              <w:rPr>
                <w:rFonts w:ascii="Arial" w:hAnsi="Arial" w:cs="Arial"/>
                <w:b/>
                <w:sz w:val="16"/>
                <w:szCs w:val="16"/>
              </w:rPr>
            </w:pPr>
            <w:r w:rsidRPr="004115A1">
              <w:rPr>
                <w:rFonts w:ascii="Arial" w:hAnsi="Arial" w:cs="Arial"/>
                <w:b/>
                <w:sz w:val="16"/>
                <w:szCs w:val="16"/>
              </w:rPr>
              <w:t>RESPONSIBILITY</w:t>
            </w:r>
          </w:p>
        </w:tc>
      </w:tr>
      <w:tr w:rsidR="004115A1" w:rsidRPr="004115A1" w14:paraId="233A2617" w14:textId="77777777" w:rsidTr="004D00A8">
        <w:trPr>
          <w:trHeight w:val="266"/>
        </w:trPr>
        <w:tc>
          <w:tcPr>
            <w:tcW w:w="2163" w:type="dxa"/>
            <w:tcBorders>
              <w:top w:val="single" w:sz="4" w:space="0" w:color="auto"/>
              <w:left w:val="single" w:sz="4" w:space="0" w:color="auto"/>
              <w:bottom w:val="single" w:sz="4" w:space="0" w:color="auto"/>
              <w:right w:val="single" w:sz="4" w:space="0" w:color="auto"/>
            </w:tcBorders>
          </w:tcPr>
          <w:p w14:paraId="21E68EF3" w14:textId="65AD7547" w:rsidR="004D00A8" w:rsidRPr="004115A1" w:rsidRDefault="004D00A8">
            <w:pPr>
              <w:rPr>
                <w:rFonts w:ascii="Arial" w:hAnsi="Arial" w:cs="Arial"/>
                <w:sz w:val="16"/>
                <w:szCs w:val="16"/>
              </w:rPr>
            </w:pPr>
            <w:r w:rsidRPr="004115A1">
              <w:rPr>
                <w:rFonts w:ascii="Arial" w:hAnsi="Arial" w:cs="Arial"/>
                <w:b/>
                <w:sz w:val="16"/>
                <w:szCs w:val="16"/>
              </w:rPr>
              <w:t>Commitment 2.3.1:</w:t>
            </w:r>
            <w:r w:rsidRPr="004115A1">
              <w:rPr>
                <w:rFonts w:ascii="Arial" w:hAnsi="Arial" w:cs="Arial"/>
                <w:sz w:val="16"/>
                <w:szCs w:val="16"/>
              </w:rPr>
              <w:t xml:space="preserve"> To ensure that </w:t>
            </w:r>
            <w:r w:rsidR="004E05B6" w:rsidRPr="004115A1">
              <w:rPr>
                <w:rFonts w:ascii="Arial" w:hAnsi="Arial" w:cs="Arial"/>
                <w:sz w:val="16"/>
                <w:szCs w:val="16"/>
              </w:rPr>
              <w:t>the</w:t>
            </w:r>
            <w:r w:rsidR="004E05B6" w:rsidRPr="004E05B6">
              <w:rPr>
                <w:rFonts w:ascii="Arial" w:hAnsi="Arial" w:cs="Arial"/>
                <w:sz w:val="16"/>
                <w:szCs w:val="16"/>
              </w:rPr>
              <w:t xml:space="preserve"> </w:t>
            </w:r>
            <w:r w:rsidR="004E05B6" w:rsidRPr="004E05B6">
              <w:rPr>
                <w:rFonts w:ascii="Arial" w:hAnsi="Arial" w:cs="Arial"/>
                <w:sz w:val="16"/>
                <w:szCs w:val="16"/>
              </w:rPr>
              <w:t>Fiscal Rules in t</w:t>
            </w:r>
            <w:r w:rsidR="004E05B6">
              <w:rPr>
                <w:rFonts w:ascii="Arial" w:hAnsi="Arial" w:cs="Arial"/>
                <w:sz w:val="16"/>
                <w:szCs w:val="16"/>
              </w:rPr>
              <w:t>he</w:t>
            </w:r>
            <w:r w:rsidRPr="004115A1">
              <w:rPr>
                <w:rFonts w:ascii="Arial" w:hAnsi="Arial" w:cs="Arial"/>
                <w:sz w:val="16"/>
                <w:szCs w:val="16"/>
              </w:rPr>
              <w:t xml:space="preserve"> Fiscal Responsibility Act which was suspended July 2020 is restored by June 2023 </w:t>
            </w:r>
          </w:p>
          <w:p w14:paraId="2506CCC8" w14:textId="77777777" w:rsidR="004D00A8" w:rsidRPr="004115A1" w:rsidRDefault="004D00A8">
            <w:pPr>
              <w:rPr>
                <w:rFonts w:ascii="Arial" w:hAnsi="Arial" w:cs="Arial"/>
                <w:sz w:val="16"/>
                <w:szCs w:val="16"/>
              </w:rPr>
            </w:pPr>
          </w:p>
          <w:p w14:paraId="10EAD998" w14:textId="4A790F14" w:rsidR="004D00A8" w:rsidRPr="004115A1" w:rsidRDefault="004D00A8">
            <w:pPr>
              <w:rPr>
                <w:rFonts w:ascii="Arial" w:hAnsi="Arial" w:cs="Arial"/>
                <w:i/>
                <w:iCs/>
                <w:sz w:val="16"/>
                <w:szCs w:val="16"/>
              </w:rPr>
            </w:pPr>
          </w:p>
        </w:tc>
        <w:tc>
          <w:tcPr>
            <w:tcW w:w="1230" w:type="dxa"/>
            <w:tcBorders>
              <w:top w:val="single" w:sz="4" w:space="0" w:color="auto"/>
              <w:left w:val="single" w:sz="4" w:space="0" w:color="auto"/>
              <w:bottom w:val="single" w:sz="4" w:space="0" w:color="auto"/>
              <w:right w:val="single" w:sz="4" w:space="0" w:color="auto"/>
            </w:tcBorders>
          </w:tcPr>
          <w:p w14:paraId="1CAA53E5" w14:textId="77777777" w:rsidR="004D00A8" w:rsidRPr="004115A1" w:rsidRDefault="004D00A8">
            <w:pPr>
              <w:rPr>
                <w:rFonts w:ascii="Arial" w:hAnsi="Arial" w:cs="Arial"/>
                <w:sz w:val="16"/>
                <w:szCs w:val="16"/>
              </w:rPr>
            </w:pPr>
            <w:r w:rsidRPr="004115A1">
              <w:rPr>
                <w:rFonts w:ascii="Arial" w:hAnsi="Arial" w:cs="Arial"/>
                <w:sz w:val="16"/>
                <w:szCs w:val="16"/>
              </w:rPr>
              <w:t>Fiscal Responsibility Act restored by June 2023</w:t>
            </w:r>
          </w:p>
          <w:p w14:paraId="4D612A18" w14:textId="77777777" w:rsidR="004D00A8" w:rsidRPr="004115A1" w:rsidRDefault="004D00A8">
            <w:pPr>
              <w:rPr>
                <w:rFonts w:ascii="Arial" w:hAnsi="Arial" w:cs="Arial"/>
                <w:sz w:val="16"/>
                <w:szCs w:val="16"/>
              </w:rPr>
            </w:pPr>
          </w:p>
          <w:p w14:paraId="2398B383" w14:textId="77777777" w:rsidR="004D00A8" w:rsidRPr="004115A1" w:rsidRDefault="004D00A8">
            <w:pPr>
              <w:rPr>
                <w:rFonts w:ascii="Arial" w:hAnsi="Arial" w:cs="Arial"/>
                <w:sz w:val="16"/>
                <w:szCs w:val="16"/>
              </w:rPr>
            </w:pPr>
          </w:p>
        </w:tc>
        <w:tc>
          <w:tcPr>
            <w:tcW w:w="1227" w:type="dxa"/>
            <w:tcBorders>
              <w:top w:val="single" w:sz="4" w:space="0" w:color="auto"/>
              <w:left w:val="single" w:sz="4" w:space="0" w:color="auto"/>
              <w:bottom w:val="single" w:sz="4" w:space="0" w:color="auto"/>
              <w:right w:val="single" w:sz="4" w:space="0" w:color="auto"/>
            </w:tcBorders>
            <w:hideMark/>
          </w:tcPr>
          <w:p w14:paraId="342B656F" w14:textId="77777777" w:rsidR="004D00A8" w:rsidRPr="004115A1" w:rsidRDefault="004D00A8">
            <w:pPr>
              <w:rPr>
                <w:rFonts w:ascii="Arial" w:hAnsi="Arial" w:cs="Arial"/>
                <w:sz w:val="16"/>
                <w:szCs w:val="16"/>
              </w:rPr>
            </w:pPr>
            <w:r w:rsidRPr="004115A1">
              <w:rPr>
                <w:rFonts w:ascii="Arial" w:hAnsi="Arial" w:cs="Arial"/>
                <w:sz w:val="16"/>
                <w:szCs w:val="16"/>
              </w:rPr>
              <w:t xml:space="preserve">(a) the overall fiscal balance on cash basis for a particular year shall not exceed a deficit of five percent of the Gross Domestic Product for that year; and </w:t>
            </w:r>
          </w:p>
          <w:p w14:paraId="7FDF19AE" w14:textId="77777777" w:rsidR="004D00A8" w:rsidRPr="004115A1" w:rsidRDefault="004D00A8">
            <w:pPr>
              <w:rPr>
                <w:rFonts w:ascii="Arial" w:hAnsi="Arial" w:cs="Arial"/>
                <w:sz w:val="16"/>
                <w:szCs w:val="16"/>
              </w:rPr>
            </w:pPr>
            <w:r w:rsidRPr="004115A1">
              <w:rPr>
                <w:rFonts w:ascii="Arial" w:hAnsi="Arial" w:cs="Arial"/>
                <w:sz w:val="16"/>
                <w:szCs w:val="16"/>
              </w:rPr>
              <w:t>(b) an annual positive primary balance shall be maintained.</w:t>
            </w:r>
          </w:p>
        </w:tc>
        <w:tc>
          <w:tcPr>
            <w:tcW w:w="930" w:type="dxa"/>
            <w:tcBorders>
              <w:top w:val="single" w:sz="4" w:space="0" w:color="auto"/>
              <w:left w:val="single" w:sz="4" w:space="0" w:color="auto"/>
              <w:bottom w:val="single" w:sz="4" w:space="0" w:color="auto"/>
              <w:right w:val="single" w:sz="4" w:space="0" w:color="auto"/>
            </w:tcBorders>
          </w:tcPr>
          <w:p w14:paraId="2CE9178E" w14:textId="77777777" w:rsidR="004D00A8" w:rsidRPr="004115A1" w:rsidRDefault="004D00A8">
            <w:pPr>
              <w:rPr>
                <w:rFonts w:ascii="Arial" w:hAnsi="Arial" w:cs="Arial"/>
                <w:sz w:val="16"/>
                <w:szCs w:val="16"/>
              </w:rPr>
            </w:pPr>
            <w:r w:rsidRPr="004115A1">
              <w:rPr>
                <w:rFonts w:ascii="Arial" w:hAnsi="Arial" w:cs="Arial"/>
                <w:sz w:val="16"/>
                <w:szCs w:val="16"/>
              </w:rPr>
              <w:t xml:space="preserve">No. </w:t>
            </w:r>
          </w:p>
          <w:p w14:paraId="0539796F" w14:textId="77777777" w:rsidR="004D00A8" w:rsidRPr="004115A1" w:rsidRDefault="004D00A8">
            <w:pPr>
              <w:rPr>
                <w:rFonts w:ascii="Arial" w:hAnsi="Arial" w:cs="Arial"/>
                <w:sz w:val="16"/>
                <w:szCs w:val="16"/>
              </w:rPr>
            </w:pPr>
          </w:p>
        </w:tc>
        <w:tc>
          <w:tcPr>
            <w:tcW w:w="1159" w:type="dxa"/>
            <w:tcBorders>
              <w:top w:val="single" w:sz="4" w:space="0" w:color="auto"/>
              <w:left w:val="single" w:sz="4" w:space="0" w:color="auto"/>
              <w:bottom w:val="single" w:sz="4" w:space="0" w:color="auto"/>
              <w:right w:val="single" w:sz="4" w:space="0" w:color="auto"/>
            </w:tcBorders>
            <w:hideMark/>
          </w:tcPr>
          <w:p w14:paraId="08F43872" w14:textId="77777777" w:rsidR="004D00A8" w:rsidRPr="004115A1" w:rsidRDefault="004D00A8">
            <w:pPr>
              <w:rPr>
                <w:rFonts w:ascii="Arial" w:hAnsi="Arial" w:cs="Arial"/>
                <w:sz w:val="16"/>
                <w:szCs w:val="16"/>
              </w:rPr>
            </w:pPr>
            <w:r w:rsidRPr="004115A1">
              <w:rPr>
                <w:rFonts w:ascii="Arial" w:hAnsi="Arial" w:cs="Arial"/>
                <w:sz w:val="16"/>
                <w:szCs w:val="16"/>
              </w:rPr>
              <w:t>No</w:t>
            </w:r>
          </w:p>
        </w:tc>
        <w:tc>
          <w:tcPr>
            <w:tcW w:w="1951" w:type="dxa"/>
            <w:tcBorders>
              <w:top w:val="single" w:sz="4" w:space="0" w:color="auto"/>
              <w:left w:val="single" w:sz="4" w:space="0" w:color="auto"/>
              <w:bottom w:val="single" w:sz="4" w:space="0" w:color="auto"/>
              <w:right w:val="single" w:sz="4" w:space="0" w:color="auto"/>
            </w:tcBorders>
            <w:hideMark/>
          </w:tcPr>
          <w:p w14:paraId="1C262BD5" w14:textId="072CD0BC" w:rsidR="004D00A8" w:rsidRPr="004115A1" w:rsidRDefault="004D00A8">
            <w:pPr>
              <w:rPr>
                <w:rFonts w:ascii="Arial" w:hAnsi="Arial" w:cs="Arial"/>
                <w:sz w:val="16"/>
                <w:szCs w:val="16"/>
              </w:rPr>
            </w:pPr>
            <w:r w:rsidRPr="004115A1">
              <w:rPr>
                <w:rFonts w:ascii="Arial" w:hAnsi="Arial" w:cs="Arial"/>
                <w:sz w:val="16"/>
                <w:szCs w:val="16"/>
              </w:rPr>
              <w:t>The Fiscal Rules are suspended till 202</w:t>
            </w:r>
            <w:r w:rsidR="00FB3773" w:rsidRPr="004115A1">
              <w:rPr>
                <w:rFonts w:ascii="Arial" w:hAnsi="Arial" w:cs="Arial"/>
                <w:sz w:val="16"/>
                <w:szCs w:val="16"/>
              </w:rPr>
              <w:t>5</w:t>
            </w:r>
          </w:p>
        </w:tc>
        <w:tc>
          <w:tcPr>
            <w:tcW w:w="2221" w:type="dxa"/>
            <w:tcBorders>
              <w:top w:val="single" w:sz="4" w:space="0" w:color="auto"/>
              <w:left w:val="single" w:sz="4" w:space="0" w:color="auto"/>
              <w:bottom w:val="single" w:sz="4" w:space="0" w:color="auto"/>
              <w:right w:val="single" w:sz="4" w:space="0" w:color="auto"/>
            </w:tcBorders>
            <w:hideMark/>
          </w:tcPr>
          <w:p w14:paraId="4C1E9CD7" w14:textId="351E92E5" w:rsidR="004D00A8" w:rsidRPr="004115A1" w:rsidRDefault="004A1F4C">
            <w:pPr>
              <w:rPr>
                <w:rFonts w:ascii="Arial" w:hAnsi="Arial" w:cs="Arial"/>
                <w:sz w:val="16"/>
                <w:szCs w:val="16"/>
              </w:rPr>
            </w:pPr>
            <w:r w:rsidRPr="004115A1">
              <w:rPr>
                <w:rFonts w:ascii="Arial" w:hAnsi="Arial" w:cs="Arial"/>
                <w:sz w:val="16"/>
                <w:szCs w:val="16"/>
              </w:rPr>
              <w:t>202</w:t>
            </w:r>
            <w:r w:rsidR="00FB3773" w:rsidRPr="004115A1">
              <w:rPr>
                <w:rFonts w:ascii="Arial" w:hAnsi="Arial" w:cs="Arial"/>
                <w:sz w:val="16"/>
                <w:szCs w:val="16"/>
              </w:rPr>
              <w:t>3</w:t>
            </w:r>
            <w:r w:rsidRPr="004115A1">
              <w:rPr>
                <w:rFonts w:ascii="Arial" w:hAnsi="Arial" w:cs="Arial"/>
                <w:sz w:val="16"/>
                <w:szCs w:val="16"/>
              </w:rPr>
              <w:t xml:space="preserve"> Budget Statement</w:t>
            </w:r>
            <w:r w:rsidR="00FB3773" w:rsidRPr="004115A1">
              <w:rPr>
                <w:rFonts w:ascii="Arial" w:hAnsi="Arial" w:cs="Arial"/>
                <w:sz w:val="16"/>
                <w:szCs w:val="16"/>
              </w:rPr>
              <w:t xml:space="preserve"> Appendix 3A</w:t>
            </w:r>
            <w:r w:rsidR="003453DE" w:rsidRPr="004115A1">
              <w:rPr>
                <w:rFonts w:ascii="Arial" w:hAnsi="Arial" w:cs="Arial"/>
                <w:sz w:val="16"/>
                <w:szCs w:val="16"/>
              </w:rPr>
              <w:t xml:space="preserve"> page 189</w:t>
            </w:r>
            <w:r w:rsidR="00FB3773" w:rsidRPr="004115A1">
              <w:rPr>
                <w:rFonts w:ascii="Arial" w:hAnsi="Arial" w:cs="Arial"/>
                <w:sz w:val="16"/>
                <w:szCs w:val="16"/>
              </w:rPr>
              <w:t>; Memorandum items (overall balance, cash</w:t>
            </w:r>
            <w:r w:rsidR="003453DE" w:rsidRPr="004115A1">
              <w:rPr>
                <w:rFonts w:ascii="Arial" w:hAnsi="Arial" w:cs="Arial"/>
                <w:sz w:val="16"/>
                <w:szCs w:val="16"/>
              </w:rPr>
              <w:t>,</w:t>
            </w:r>
            <w:r w:rsidR="00FB3773" w:rsidRPr="004115A1">
              <w:rPr>
                <w:rFonts w:ascii="Arial" w:hAnsi="Arial" w:cs="Arial"/>
                <w:sz w:val="16"/>
                <w:szCs w:val="16"/>
              </w:rPr>
              <w:t xml:space="preserve"> discrepancy</w:t>
            </w:r>
            <w:r w:rsidR="00A53C72" w:rsidRPr="004115A1">
              <w:rPr>
                <w:rFonts w:ascii="Arial" w:hAnsi="Arial" w:cs="Arial"/>
                <w:sz w:val="16"/>
                <w:szCs w:val="16"/>
              </w:rPr>
              <w:t xml:space="preserve"> – Percentage of GDP</w:t>
            </w:r>
            <w:r w:rsidR="00FB3773" w:rsidRPr="004115A1">
              <w:rPr>
                <w:rFonts w:ascii="Arial" w:hAnsi="Arial" w:cs="Arial"/>
                <w:sz w:val="16"/>
                <w:szCs w:val="16"/>
              </w:rPr>
              <w:t>)</w:t>
            </w:r>
            <w:r w:rsidR="00210EBB" w:rsidRPr="004115A1">
              <w:rPr>
                <w:rFonts w:ascii="Arial" w:hAnsi="Arial" w:cs="Arial"/>
                <w:sz w:val="16"/>
                <w:szCs w:val="16"/>
              </w:rPr>
              <w:t xml:space="preserve"> clearly state the path of restoration </w:t>
            </w:r>
            <w:r w:rsidR="00A53C72" w:rsidRPr="004115A1">
              <w:rPr>
                <w:rFonts w:ascii="Arial" w:hAnsi="Arial" w:cs="Arial"/>
                <w:sz w:val="16"/>
                <w:szCs w:val="16"/>
              </w:rPr>
              <w:t>to</w:t>
            </w:r>
            <w:r w:rsidR="003453DE" w:rsidRPr="004115A1">
              <w:rPr>
                <w:rFonts w:ascii="Arial" w:hAnsi="Arial" w:cs="Arial"/>
                <w:sz w:val="16"/>
                <w:szCs w:val="16"/>
              </w:rPr>
              <w:t xml:space="preserve"> </w:t>
            </w:r>
            <w:r w:rsidR="00A53C72" w:rsidRPr="004115A1">
              <w:rPr>
                <w:rFonts w:ascii="Arial" w:hAnsi="Arial" w:cs="Arial"/>
                <w:sz w:val="16"/>
                <w:szCs w:val="16"/>
              </w:rPr>
              <w:t xml:space="preserve">5% </w:t>
            </w:r>
            <w:r w:rsidR="003453DE" w:rsidRPr="004115A1">
              <w:rPr>
                <w:rFonts w:ascii="Arial" w:hAnsi="Arial" w:cs="Arial"/>
                <w:sz w:val="16"/>
                <w:szCs w:val="16"/>
              </w:rPr>
              <w:t xml:space="preserve">of GDP </w:t>
            </w:r>
            <w:r w:rsidR="00A53C72" w:rsidRPr="004115A1">
              <w:rPr>
                <w:rFonts w:ascii="Arial" w:hAnsi="Arial" w:cs="Arial"/>
                <w:sz w:val="16"/>
                <w:szCs w:val="16"/>
              </w:rPr>
              <w:t xml:space="preserve">by </w:t>
            </w:r>
            <w:r w:rsidR="00210EBB" w:rsidRPr="004115A1">
              <w:rPr>
                <w:rFonts w:ascii="Arial" w:hAnsi="Arial" w:cs="Arial"/>
                <w:sz w:val="16"/>
                <w:szCs w:val="16"/>
              </w:rPr>
              <w:t>202</w:t>
            </w:r>
            <w:r w:rsidR="00A53C72" w:rsidRPr="004115A1">
              <w:rPr>
                <w:rFonts w:ascii="Arial" w:hAnsi="Arial" w:cs="Arial"/>
                <w:sz w:val="16"/>
                <w:szCs w:val="16"/>
              </w:rPr>
              <w:t>5</w:t>
            </w:r>
            <w:r w:rsidR="005A1122" w:rsidRPr="004115A1">
              <w:rPr>
                <w:rFonts w:ascii="Arial" w:hAnsi="Arial" w:cs="Arial"/>
                <w:sz w:val="16"/>
                <w:szCs w:val="16"/>
              </w:rPr>
              <w:t>.</w:t>
            </w:r>
          </w:p>
          <w:p w14:paraId="6CAC7A30" w14:textId="77777777" w:rsidR="005A1122" w:rsidRPr="004115A1" w:rsidRDefault="005A1122">
            <w:pPr>
              <w:rPr>
                <w:rFonts w:ascii="Arial" w:hAnsi="Arial" w:cs="Arial"/>
                <w:sz w:val="16"/>
                <w:szCs w:val="16"/>
              </w:rPr>
            </w:pPr>
          </w:p>
          <w:p w14:paraId="7F6C499D" w14:textId="6BD2C439" w:rsidR="005A1122" w:rsidRPr="004115A1" w:rsidRDefault="005A1122">
            <w:pPr>
              <w:rPr>
                <w:rFonts w:ascii="Arial" w:hAnsi="Arial" w:cs="Arial"/>
                <w:sz w:val="16"/>
                <w:szCs w:val="16"/>
              </w:rPr>
            </w:pPr>
            <w:r w:rsidRPr="004115A1">
              <w:rPr>
                <w:rFonts w:ascii="Arial" w:hAnsi="Arial" w:cs="Arial"/>
                <w:sz w:val="16"/>
                <w:szCs w:val="16"/>
              </w:rPr>
              <w:t>Section 2 of the fiscal responsibility Act</w:t>
            </w:r>
            <w:r w:rsidR="004115A1" w:rsidRPr="004115A1">
              <w:rPr>
                <w:rFonts w:ascii="Arial" w:hAnsi="Arial" w:cs="Arial"/>
                <w:sz w:val="16"/>
                <w:szCs w:val="16"/>
              </w:rPr>
              <w:t xml:space="preserve"> states the rules. </w:t>
            </w:r>
          </w:p>
        </w:tc>
        <w:tc>
          <w:tcPr>
            <w:tcW w:w="1405" w:type="dxa"/>
            <w:tcBorders>
              <w:top w:val="single" w:sz="4" w:space="0" w:color="auto"/>
              <w:left w:val="single" w:sz="4" w:space="0" w:color="auto"/>
              <w:bottom w:val="single" w:sz="4" w:space="0" w:color="auto"/>
              <w:right w:val="single" w:sz="4" w:space="0" w:color="auto"/>
            </w:tcBorders>
            <w:hideMark/>
          </w:tcPr>
          <w:p w14:paraId="785117EC" w14:textId="03BDA679" w:rsidR="004D00A8" w:rsidRPr="004115A1" w:rsidRDefault="004D00A8">
            <w:pPr>
              <w:rPr>
                <w:rFonts w:ascii="Arial" w:hAnsi="Arial" w:cs="Arial"/>
                <w:sz w:val="16"/>
                <w:szCs w:val="16"/>
              </w:rPr>
            </w:pPr>
            <w:r w:rsidRPr="004115A1">
              <w:rPr>
                <w:rFonts w:ascii="Arial" w:hAnsi="Arial" w:cs="Arial"/>
                <w:sz w:val="16"/>
                <w:szCs w:val="16"/>
              </w:rPr>
              <w:t>Per the recent fiscal framework, the Fiscal Rules are expected to be restored by 202</w:t>
            </w:r>
            <w:r w:rsidR="00210EBB" w:rsidRPr="004115A1">
              <w:rPr>
                <w:rFonts w:ascii="Arial" w:hAnsi="Arial" w:cs="Arial"/>
                <w:sz w:val="16"/>
                <w:szCs w:val="16"/>
              </w:rPr>
              <w:t>5</w:t>
            </w:r>
            <w:r w:rsidRPr="004115A1">
              <w:rPr>
                <w:rFonts w:ascii="Arial" w:hAnsi="Arial" w:cs="Arial"/>
                <w:sz w:val="16"/>
                <w:szCs w:val="16"/>
              </w:rPr>
              <w:t xml:space="preserve"> where the fiscal deficit on cash basis is projected at 5% with a positive primary balance.</w:t>
            </w:r>
          </w:p>
          <w:p w14:paraId="5A0FBDBB" w14:textId="77777777" w:rsidR="004D00A8" w:rsidRPr="004115A1" w:rsidRDefault="004D00A8">
            <w:pPr>
              <w:rPr>
                <w:rFonts w:ascii="Arial" w:hAnsi="Arial" w:cs="Arial"/>
                <w:sz w:val="16"/>
                <w:szCs w:val="16"/>
              </w:rPr>
            </w:pPr>
            <w:r w:rsidRPr="004115A1">
              <w:rPr>
                <w:rFonts w:ascii="Arial" w:hAnsi="Arial" w:cs="Arial"/>
                <w:sz w:val="16"/>
                <w:szCs w:val="16"/>
              </w:rPr>
              <w:t>However, the primary balance is expected to be positive from 2025.</w:t>
            </w:r>
          </w:p>
        </w:tc>
        <w:tc>
          <w:tcPr>
            <w:tcW w:w="1416" w:type="dxa"/>
            <w:vMerge w:val="restart"/>
            <w:tcBorders>
              <w:top w:val="single" w:sz="4" w:space="0" w:color="auto"/>
              <w:left w:val="single" w:sz="4" w:space="0" w:color="auto"/>
              <w:bottom w:val="single" w:sz="4" w:space="0" w:color="auto"/>
              <w:right w:val="single" w:sz="4" w:space="0" w:color="auto"/>
            </w:tcBorders>
          </w:tcPr>
          <w:p w14:paraId="28EE98A9" w14:textId="77777777" w:rsidR="004D00A8" w:rsidRPr="004115A1" w:rsidRDefault="004D00A8">
            <w:pPr>
              <w:rPr>
                <w:rFonts w:ascii="Arial" w:hAnsi="Arial" w:cs="Arial"/>
                <w:b/>
                <w:sz w:val="16"/>
                <w:szCs w:val="16"/>
                <w:u w:val="single"/>
              </w:rPr>
            </w:pPr>
            <w:r w:rsidRPr="004115A1">
              <w:rPr>
                <w:rFonts w:ascii="Arial" w:hAnsi="Arial" w:cs="Arial"/>
                <w:b/>
                <w:sz w:val="16"/>
                <w:szCs w:val="16"/>
                <w:u w:val="single"/>
              </w:rPr>
              <w:t>Responsible MDAs</w:t>
            </w:r>
          </w:p>
          <w:p w14:paraId="64634A2F" w14:textId="77777777" w:rsidR="004D00A8" w:rsidRPr="004115A1" w:rsidRDefault="004D00A8">
            <w:pPr>
              <w:rPr>
                <w:rFonts w:ascii="Arial" w:hAnsi="Arial" w:cs="Arial"/>
                <w:sz w:val="16"/>
                <w:szCs w:val="16"/>
              </w:rPr>
            </w:pPr>
            <w:r w:rsidRPr="004115A1">
              <w:rPr>
                <w:rFonts w:ascii="Arial" w:hAnsi="Arial" w:cs="Arial"/>
                <w:sz w:val="16"/>
                <w:szCs w:val="16"/>
              </w:rPr>
              <w:t>Ministry of Finance,</w:t>
            </w:r>
          </w:p>
          <w:p w14:paraId="5021CF28" w14:textId="77777777" w:rsidR="004D00A8" w:rsidRPr="004115A1" w:rsidRDefault="004D00A8">
            <w:pPr>
              <w:rPr>
                <w:rFonts w:ascii="Arial" w:hAnsi="Arial" w:cs="Arial"/>
                <w:sz w:val="16"/>
                <w:szCs w:val="16"/>
              </w:rPr>
            </w:pPr>
          </w:p>
          <w:p w14:paraId="3C150274" w14:textId="77777777" w:rsidR="004D00A8" w:rsidRPr="004115A1" w:rsidRDefault="004D00A8">
            <w:pPr>
              <w:rPr>
                <w:rFonts w:ascii="Arial" w:hAnsi="Arial" w:cs="Arial"/>
                <w:b/>
                <w:sz w:val="16"/>
                <w:szCs w:val="16"/>
                <w:u w:val="single"/>
              </w:rPr>
            </w:pPr>
            <w:r w:rsidRPr="004115A1">
              <w:rPr>
                <w:rFonts w:ascii="Arial" w:hAnsi="Arial" w:cs="Arial"/>
                <w:b/>
                <w:sz w:val="16"/>
                <w:szCs w:val="16"/>
                <w:u w:val="single"/>
              </w:rPr>
              <w:t>Other State Actors</w:t>
            </w:r>
          </w:p>
          <w:p w14:paraId="0D0BFC94" w14:textId="77777777" w:rsidR="004D00A8" w:rsidRPr="004115A1" w:rsidRDefault="004D00A8">
            <w:pPr>
              <w:rPr>
                <w:rFonts w:ascii="Arial" w:hAnsi="Arial" w:cs="Arial"/>
                <w:sz w:val="16"/>
                <w:szCs w:val="16"/>
              </w:rPr>
            </w:pPr>
            <w:r w:rsidRPr="004115A1">
              <w:rPr>
                <w:rFonts w:ascii="Arial" w:hAnsi="Arial" w:cs="Arial"/>
                <w:sz w:val="16"/>
                <w:szCs w:val="16"/>
              </w:rPr>
              <w:t>Economic Management Team, Fiscal Responsibility Council</w:t>
            </w:r>
          </w:p>
          <w:p w14:paraId="1FE5647A" w14:textId="77777777" w:rsidR="004D00A8" w:rsidRPr="004115A1" w:rsidRDefault="004D00A8">
            <w:pPr>
              <w:rPr>
                <w:rFonts w:ascii="Arial" w:hAnsi="Arial" w:cs="Arial"/>
                <w:sz w:val="16"/>
                <w:szCs w:val="16"/>
              </w:rPr>
            </w:pPr>
          </w:p>
          <w:p w14:paraId="3E4C6454" w14:textId="77777777" w:rsidR="004D00A8" w:rsidRPr="004115A1" w:rsidRDefault="004D00A8">
            <w:pPr>
              <w:rPr>
                <w:rFonts w:ascii="Arial" w:hAnsi="Arial" w:cs="Arial"/>
                <w:b/>
                <w:sz w:val="16"/>
                <w:szCs w:val="16"/>
                <w:u w:val="single"/>
              </w:rPr>
            </w:pPr>
            <w:r w:rsidRPr="004115A1">
              <w:rPr>
                <w:rFonts w:ascii="Arial" w:hAnsi="Arial" w:cs="Arial"/>
                <w:b/>
                <w:sz w:val="16"/>
                <w:szCs w:val="16"/>
                <w:u w:val="single"/>
              </w:rPr>
              <w:t>Collaborating Institutions</w:t>
            </w:r>
          </w:p>
          <w:p w14:paraId="13B1B359" w14:textId="77777777" w:rsidR="004D00A8" w:rsidRPr="004115A1" w:rsidRDefault="004D00A8">
            <w:pPr>
              <w:rPr>
                <w:rFonts w:ascii="Arial" w:hAnsi="Arial" w:cs="Arial"/>
                <w:sz w:val="16"/>
                <w:szCs w:val="16"/>
              </w:rPr>
            </w:pPr>
            <w:r w:rsidRPr="004115A1">
              <w:rPr>
                <w:rFonts w:ascii="Arial" w:hAnsi="Arial" w:cs="Arial"/>
                <w:sz w:val="16"/>
                <w:szCs w:val="16"/>
              </w:rPr>
              <w:t>Institute for Fiscal Studies (IFS), Institute for Economic Affairs (IEA), ISSER; University of Ghana, the Department of Economics, University of Ghana Center for Democratic Development (CDD) and Institute for Democratic Governance (IDEG)</w:t>
            </w:r>
          </w:p>
        </w:tc>
      </w:tr>
      <w:tr w:rsidR="004115A1" w:rsidRPr="004115A1" w14:paraId="2114E2A5" w14:textId="77777777" w:rsidTr="006A040E">
        <w:trPr>
          <w:trHeight w:val="277"/>
        </w:trPr>
        <w:tc>
          <w:tcPr>
            <w:tcW w:w="2163" w:type="dxa"/>
            <w:tcBorders>
              <w:top w:val="single" w:sz="4" w:space="0" w:color="auto"/>
              <w:left w:val="single" w:sz="4" w:space="0" w:color="auto"/>
              <w:bottom w:val="single" w:sz="4" w:space="0" w:color="auto"/>
              <w:right w:val="single" w:sz="4" w:space="0" w:color="auto"/>
            </w:tcBorders>
          </w:tcPr>
          <w:p w14:paraId="08D40225" w14:textId="77777777" w:rsidR="00A53C72" w:rsidRPr="004115A1" w:rsidRDefault="00A53C72" w:rsidP="00A53C72">
            <w:pPr>
              <w:rPr>
                <w:rFonts w:ascii="Arial" w:hAnsi="Arial" w:cs="Arial"/>
                <w:b/>
                <w:sz w:val="16"/>
                <w:szCs w:val="16"/>
              </w:rPr>
            </w:pPr>
            <w:r w:rsidRPr="004115A1">
              <w:rPr>
                <w:rFonts w:ascii="Arial" w:hAnsi="Arial" w:cs="Arial"/>
                <w:b/>
                <w:sz w:val="16"/>
                <w:szCs w:val="16"/>
              </w:rPr>
              <w:t>Milestones Activities</w:t>
            </w:r>
          </w:p>
          <w:p w14:paraId="48630B59" w14:textId="77777777" w:rsidR="00A53C72" w:rsidRPr="004115A1" w:rsidRDefault="00A53C72" w:rsidP="00A53C72">
            <w:pPr>
              <w:rPr>
                <w:rFonts w:ascii="Arial" w:hAnsi="Arial" w:cs="Arial"/>
                <w:b/>
                <w:sz w:val="16"/>
                <w:szCs w:val="16"/>
              </w:rPr>
            </w:pPr>
          </w:p>
          <w:p w14:paraId="1AB7413B" w14:textId="77777777" w:rsidR="00A53C72" w:rsidRPr="004115A1" w:rsidRDefault="00A53C72" w:rsidP="00A53C72">
            <w:pPr>
              <w:rPr>
                <w:rFonts w:ascii="Arial" w:hAnsi="Arial" w:cs="Arial"/>
                <w:b/>
                <w:sz w:val="16"/>
                <w:szCs w:val="16"/>
              </w:rPr>
            </w:pPr>
            <w:r w:rsidRPr="004115A1">
              <w:rPr>
                <w:rFonts w:ascii="Arial" w:hAnsi="Arial" w:cs="Arial"/>
                <w:b/>
                <w:sz w:val="16"/>
                <w:szCs w:val="16"/>
              </w:rPr>
              <w:t>2.3.1.1</w:t>
            </w:r>
          </w:p>
          <w:p w14:paraId="034E3D7E" w14:textId="77777777" w:rsidR="00A53C72" w:rsidRPr="004115A1" w:rsidRDefault="00A53C72" w:rsidP="00A53C72">
            <w:pPr>
              <w:rPr>
                <w:rFonts w:ascii="Arial" w:hAnsi="Arial" w:cs="Arial"/>
                <w:sz w:val="16"/>
                <w:szCs w:val="16"/>
              </w:rPr>
            </w:pPr>
            <w:r w:rsidRPr="004115A1">
              <w:rPr>
                <w:rFonts w:ascii="Arial" w:hAnsi="Arial" w:cs="Arial"/>
                <w:sz w:val="16"/>
                <w:szCs w:val="16"/>
              </w:rPr>
              <w:t>Government to announce at annual budget readings progress towards restoration of the Act.</w:t>
            </w:r>
          </w:p>
        </w:tc>
        <w:tc>
          <w:tcPr>
            <w:tcW w:w="1230" w:type="dxa"/>
            <w:tcBorders>
              <w:top w:val="single" w:sz="4" w:space="0" w:color="auto"/>
              <w:left w:val="single" w:sz="4" w:space="0" w:color="auto"/>
              <w:bottom w:val="single" w:sz="4" w:space="0" w:color="auto"/>
              <w:right w:val="single" w:sz="4" w:space="0" w:color="auto"/>
            </w:tcBorders>
          </w:tcPr>
          <w:p w14:paraId="6B99C211" w14:textId="77777777" w:rsidR="00A53C72" w:rsidRPr="004115A1" w:rsidRDefault="00A53C72" w:rsidP="00A53C72">
            <w:pPr>
              <w:rPr>
                <w:rFonts w:ascii="Arial" w:hAnsi="Arial" w:cs="Arial"/>
                <w:sz w:val="16"/>
                <w:szCs w:val="16"/>
              </w:rPr>
            </w:pPr>
            <w:r w:rsidRPr="004115A1">
              <w:rPr>
                <w:rFonts w:ascii="Arial" w:hAnsi="Arial" w:cs="Arial"/>
                <w:sz w:val="16"/>
                <w:szCs w:val="16"/>
              </w:rPr>
              <w:t>Progress towards restoration of the Fiscal Responsibility Act captured in budget readings.</w:t>
            </w:r>
          </w:p>
          <w:p w14:paraId="04B70855" w14:textId="77777777" w:rsidR="00A53C72" w:rsidRPr="004115A1" w:rsidRDefault="00A53C72" w:rsidP="00A53C72">
            <w:pPr>
              <w:rPr>
                <w:rFonts w:ascii="Arial" w:hAnsi="Arial" w:cs="Arial"/>
                <w:sz w:val="16"/>
                <w:szCs w:val="16"/>
              </w:rPr>
            </w:pPr>
          </w:p>
          <w:p w14:paraId="7CC75C8C" w14:textId="77777777" w:rsidR="00A53C72" w:rsidRPr="004115A1" w:rsidRDefault="00A53C72" w:rsidP="00A53C72">
            <w:pPr>
              <w:rPr>
                <w:rFonts w:ascii="Arial" w:hAnsi="Arial" w:cs="Arial"/>
                <w:sz w:val="16"/>
                <w:szCs w:val="16"/>
              </w:rPr>
            </w:pPr>
            <w:r w:rsidRPr="004115A1">
              <w:rPr>
                <w:rFonts w:ascii="Arial" w:hAnsi="Arial" w:cs="Arial"/>
                <w:sz w:val="16"/>
                <w:szCs w:val="16"/>
              </w:rPr>
              <w:t xml:space="preserve">(Yes, No): The budget is medium term and reports on projected deficit and </w:t>
            </w:r>
            <w:r w:rsidRPr="004115A1">
              <w:rPr>
                <w:rFonts w:ascii="Arial" w:hAnsi="Arial" w:cs="Arial"/>
                <w:sz w:val="16"/>
                <w:szCs w:val="16"/>
              </w:rPr>
              <w:lastRenderedPageBreak/>
              <w:t>primary balance for the indicative years as well.</w:t>
            </w:r>
          </w:p>
        </w:tc>
        <w:tc>
          <w:tcPr>
            <w:tcW w:w="1227" w:type="dxa"/>
            <w:tcBorders>
              <w:top w:val="single" w:sz="4" w:space="0" w:color="auto"/>
              <w:left w:val="single" w:sz="4" w:space="0" w:color="auto"/>
              <w:bottom w:val="single" w:sz="4" w:space="0" w:color="auto"/>
              <w:right w:val="single" w:sz="4" w:space="0" w:color="auto"/>
            </w:tcBorders>
          </w:tcPr>
          <w:p w14:paraId="0736657E" w14:textId="77777777" w:rsidR="00A53C72" w:rsidRPr="004115A1" w:rsidRDefault="00A53C72" w:rsidP="00A53C72">
            <w:pPr>
              <w:rPr>
                <w:rFonts w:ascii="Arial" w:hAnsi="Arial" w:cs="Arial"/>
                <w:sz w:val="16"/>
                <w:szCs w:val="16"/>
              </w:rPr>
            </w:pPr>
          </w:p>
        </w:tc>
        <w:tc>
          <w:tcPr>
            <w:tcW w:w="930" w:type="dxa"/>
            <w:tcBorders>
              <w:top w:val="single" w:sz="4" w:space="0" w:color="auto"/>
              <w:left w:val="single" w:sz="4" w:space="0" w:color="auto"/>
              <w:bottom w:val="single" w:sz="4" w:space="0" w:color="auto"/>
              <w:right w:val="single" w:sz="4" w:space="0" w:color="auto"/>
            </w:tcBorders>
            <w:hideMark/>
          </w:tcPr>
          <w:p w14:paraId="4CE04559" w14:textId="77777777" w:rsidR="00A53C72" w:rsidRPr="004115A1" w:rsidRDefault="00A53C72" w:rsidP="00A53C72">
            <w:pPr>
              <w:rPr>
                <w:rFonts w:ascii="Arial" w:hAnsi="Arial" w:cs="Arial"/>
                <w:sz w:val="16"/>
                <w:szCs w:val="16"/>
              </w:rPr>
            </w:pPr>
            <w:r w:rsidRPr="004115A1">
              <w:rPr>
                <w:rFonts w:ascii="Arial" w:hAnsi="Arial" w:cs="Arial"/>
                <w:sz w:val="16"/>
                <w:szCs w:val="16"/>
              </w:rPr>
              <w:t>No</w:t>
            </w:r>
          </w:p>
        </w:tc>
        <w:tc>
          <w:tcPr>
            <w:tcW w:w="1159" w:type="dxa"/>
            <w:tcBorders>
              <w:top w:val="single" w:sz="4" w:space="0" w:color="auto"/>
              <w:left w:val="single" w:sz="4" w:space="0" w:color="auto"/>
              <w:bottom w:val="single" w:sz="4" w:space="0" w:color="auto"/>
              <w:right w:val="single" w:sz="4" w:space="0" w:color="auto"/>
            </w:tcBorders>
            <w:hideMark/>
          </w:tcPr>
          <w:p w14:paraId="52D15879" w14:textId="77777777" w:rsidR="00A53C72" w:rsidRPr="004115A1" w:rsidRDefault="00A53C72" w:rsidP="00A53C72">
            <w:pPr>
              <w:rPr>
                <w:rFonts w:ascii="Arial" w:hAnsi="Arial" w:cs="Arial"/>
                <w:sz w:val="16"/>
                <w:szCs w:val="16"/>
              </w:rPr>
            </w:pPr>
            <w:r w:rsidRPr="004115A1">
              <w:rPr>
                <w:rFonts w:ascii="Arial" w:hAnsi="Arial" w:cs="Arial"/>
                <w:sz w:val="16"/>
                <w:szCs w:val="16"/>
              </w:rPr>
              <w:t>Yes</w:t>
            </w:r>
          </w:p>
        </w:tc>
        <w:tc>
          <w:tcPr>
            <w:tcW w:w="1951" w:type="dxa"/>
            <w:tcBorders>
              <w:top w:val="single" w:sz="4" w:space="0" w:color="auto"/>
              <w:left w:val="single" w:sz="4" w:space="0" w:color="auto"/>
              <w:bottom w:val="single" w:sz="4" w:space="0" w:color="auto"/>
              <w:right w:val="single" w:sz="4" w:space="0" w:color="auto"/>
            </w:tcBorders>
            <w:hideMark/>
          </w:tcPr>
          <w:p w14:paraId="0D2F207E" w14:textId="3B4865E5" w:rsidR="00A53C72" w:rsidRPr="004115A1" w:rsidRDefault="00A53C72" w:rsidP="00A53C72">
            <w:pPr>
              <w:rPr>
                <w:rFonts w:ascii="Arial" w:hAnsi="Arial" w:cs="Arial"/>
                <w:sz w:val="16"/>
                <w:szCs w:val="16"/>
              </w:rPr>
            </w:pPr>
            <w:r w:rsidRPr="004115A1">
              <w:rPr>
                <w:rFonts w:ascii="Arial" w:hAnsi="Arial" w:cs="Arial"/>
                <w:sz w:val="16"/>
                <w:szCs w:val="16"/>
              </w:rPr>
              <w:t>Primary Balance (Cash) percent of GDP is -GH¢</w:t>
            </w:r>
            <w:r w:rsidR="003453DE" w:rsidRPr="004115A1">
              <w:rPr>
                <w:rFonts w:ascii="Arial" w:hAnsi="Arial" w:cs="Arial"/>
                <w:sz w:val="16"/>
                <w:szCs w:val="16"/>
              </w:rPr>
              <w:t>35.4</w:t>
            </w:r>
            <w:r w:rsidRPr="004115A1">
              <w:rPr>
                <w:rFonts w:ascii="Arial" w:hAnsi="Arial" w:cs="Arial"/>
                <w:sz w:val="16"/>
                <w:szCs w:val="16"/>
              </w:rPr>
              <w:t>b and</w:t>
            </w:r>
            <w:r w:rsidR="003453DE" w:rsidRPr="004115A1">
              <w:rPr>
                <w:rFonts w:ascii="Arial" w:hAnsi="Arial" w:cs="Arial"/>
                <w:sz w:val="16"/>
                <w:szCs w:val="16"/>
              </w:rPr>
              <w:t xml:space="preserve"> -4.4</w:t>
            </w:r>
            <w:r w:rsidRPr="004115A1">
              <w:rPr>
                <w:rFonts w:ascii="Arial" w:hAnsi="Arial" w:cs="Arial"/>
                <w:sz w:val="16"/>
                <w:szCs w:val="16"/>
              </w:rPr>
              <w:t xml:space="preserve">% </w:t>
            </w:r>
            <w:r w:rsidR="003453DE" w:rsidRPr="004115A1">
              <w:rPr>
                <w:rFonts w:ascii="Arial" w:hAnsi="Arial" w:cs="Arial"/>
                <w:sz w:val="16"/>
                <w:szCs w:val="16"/>
              </w:rPr>
              <w:t xml:space="preserve">of GDP </w:t>
            </w:r>
            <w:r w:rsidRPr="004115A1">
              <w:rPr>
                <w:rFonts w:ascii="Arial" w:hAnsi="Arial" w:cs="Arial"/>
                <w:sz w:val="16"/>
                <w:szCs w:val="16"/>
              </w:rPr>
              <w:t xml:space="preserve">as at </w:t>
            </w:r>
            <w:r w:rsidR="003453DE" w:rsidRPr="004115A1">
              <w:rPr>
                <w:rFonts w:ascii="Arial" w:hAnsi="Arial" w:cs="Arial"/>
                <w:sz w:val="16"/>
                <w:szCs w:val="16"/>
              </w:rPr>
              <w:t>end June, 2023</w:t>
            </w:r>
          </w:p>
          <w:p w14:paraId="443BFE70" w14:textId="6B9F783C" w:rsidR="00A53C72" w:rsidRPr="004115A1" w:rsidRDefault="00A53C72" w:rsidP="00A53C72">
            <w:pPr>
              <w:rPr>
                <w:rFonts w:ascii="Arial" w:hAnsi="Arial" w:cs="Arial"/>
                <w:sz w:val="16"/>
                <w:szCs w:val="16"/>
              </w:rPr>
            </w:pPr>
          </w:p>
        </w:tc>
        <w:tc>
          <w:tcPr>
            <w:tcW w:w="2221" w:type="dxa"/>
            <w:tcBorders>
              <w:top w:val="single" w:sz="4" w:space="0" w:color="auto"/>
              <w:left w:val="single" w:sz="4" w:space="0" w:color="auto"/>
              <w:bottom w:val="single" w:sz="4" w:space="0" w:color="auto"/>
              <w:right w:val="single" w:sz="4" w:space="0" w:color="auto"/>
            </w:tcBorders>
            <w:hideMark/>
          </w:tcPr>
          <w:p w14:paraId="4C9CD86B" w14:textId="62E92992" w:rsidR="00A53C72" w:rsidRPr="004115A1" w:rsidRDefault="004115A1" w:rsidP="00A53C72">
            <w:pPr>
              <w:rPr>
                <w:rFonts w:ascii="Arial" w:hAnsi="Arial" w:cs="Arial"/>
                <w:sz w:val="16"/>
                <w:szCs w:val="16"/>
              </w:rPr>
            </w:pPr>
            <w:r w:rsidRPr="004115A1">
              <w:rPr>
                <w:rFonts w:ascii="Arial" w:hAnsi="Arial" w:cs="Arial"/>
                <w:sz w:val="16"/>
                <w:szCs w:val="16"/>
              </w:rPr>
              <w:t xml:space="preserve">2023 </w:t>
            </w:r>
            <w:r w:rsidR="003453DE" w:rsidRPr="004115A1">
              <w:rPr>
                <w:rFonts w:ascii="Arial" w:hAnsi="Arial" w:cs="Arial"/>
                <w:sz w:val="16"/>
                <w:szCs w:val="16"/>
              </w:rPr>
              <w:t>Mid-Year fiscal policy statement.  Appendix 2A page 105</w:t>
            </w:r>
          </w:p>
        </w:tc>
        <w:tc>
          <w:tcPr>
            <w:tcW w:w="1405" w:type="dxa"/>
            <w:tcBorders>
              <w:top w:val="single" w:sz="4" w:space="0" w:color="auto"/>
              <w:left w:val="single" w:sz="4" w:space="0" w:color="auto"/>
              <w:bottom w:val="single" w:sz="4" w:space="0" w:color="auto"/>
              <w:right w:val="single" w:sz="4" w:space="0" w:color="auto"/>
            </w:tcBorders>
            <w:hideMark/>
          </w:tcPr>
          <w:p w14:paraId="38275085" w14:textId="796E9109" w:rsidR="00A53C72" w:rsidRPr="004115A1" w:rsidRDefault="00A53C72" w:rsidP="00A53C72">
            <w:pPr>
              <w:rPr>
                <w:rFonts w:ascii="Arial" w:hAnsi="Arial" w:cs="Arial"/>
                <w:sz w:val="16"/>
                <w:szCs w:val="16"/>
              </w:rPr>
            </w:pPr>
            <w:r w:rsidRPr="004115A1">
              <w:rPr>
                <w:rFonts w:ascii="Arial" w:hAnsi="Arial" w:cs="Arial"/>
                <w:sz w:val="16"/>
                <w:szCs w:val="16"/>
              </w:rPr>
              <w:t>On course to restoring Fiscal Rules by 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8DB60" w14:textId="77777777" w:rsidR="00A53C72" w:rsidRPr="004115A1" w:rsidRDefault="00A53C72" w:rsidP="00A53C72">
            <w:pPr>
              <w:rPr>
                <w:rFonts w:ascii="Arial" w:hAnsi="Arial" w:cs="Arial"/>
                <w:sz w:val="16"/>
                <w:szCs w:val="16"/>
              </w:rPr>
            </w:pPr>
          </w:p>
        </w:tc>
      </w:tr>
      <w:tr w:rsidR="004115A1" w:rsidRPr="004115A1" w14:paraId="033891CB" w14:textId="77777777" w:rsidTr="006A040E">
        <w:trPr>
          <w:trHeight w:val="266"/>
        </w:trPr>
        <w:tc>
          <w:tcPr>
            <w:tcW w:w="2163" w:type="dxa"/>
            <w:tcBorders>
              <w:top w:val="single" w:sz="4" w:space="0" w:color="auto"/>
              <w:left w:val="single" w:sz="4" w:space="0" w:color="auto"/>
              <w:bottom w:val="single" w:sz="4" w:space="0" w:color="auto"/>
              <w:right w:val="single" w:sz="4" w:space="0" w:color="auto"/>
            </w:tcBorders>
            <w:hideMark/>
          </w:tcPr>
          <w:p w14:paraId="39479594" w14:textId="77777777" w:rsidR="003453DE" w:rsidRPr="004115A1" w:rsidRDefault="003453DE" w:rsidP="003453DE">
            <w:pPr>
              <w:rPr>
                <w:rFonts w:ascii="Arial" w:hAnsi="Arial" w:cs="Arial"/>
                <w:sz w:val="16"/>
                <w:szCs w:val="16"/>
              </w:rPr>
            </w:pPr>
            <w:r w:rsidRPr="004115A1">
              <w:rPr>
                <w:rFonts w:ascii="Arial" w:hAnsi="Arial" w:cs="Arial"/>
                <w:b/>
                <w:sz w:val="16"/>
                <w:szCs w:val="16"/>
              </w:rPr>
              <w:t xml:space="preserve">2.3.1.2: Announcement of </w:t>
            </w:r>
            <w:r w:rsidRPr="004115A1">
              <w:rPr>
                <w:rFonts w:ascii="Arial" w:hAnsi="Arial" w:cs="Arial"/>
                <w:sz w:val="16"/>
                <w:szCs w:val="16"/>
              </w:rPr>
              <w:t>full restoration of the Rules before the end of December 2023</w:t>
            </w:r>
          </w:p>
        </w:tc>
        <w:tc>
          <w:tcPr>
            <w:tcW w:w="1230" w:type="dxa"/>
            <w:tcBorders>
              <w:top w:val="single" w:sz="4" w:space="0" w:color="auto"/>
              <w:left w:val="single" w:sz="4" w:space="0" w:color="auto"/>
              <w:bottom w:val="single" w:sz="4" w:space="0" w:color="auto"/>
              <w:right w:val="single" w:sz="4" w:space="0" w:color="auto"/>
            </w:tcBorders>
          </w:tcPr>
          <w:p w14:paraId="0A422D1B" w14:textId="77777777" w:rsidR="003453DE" w:rsidRPr="004115A1" w:rsidRDefault="003453DE" w:rsidP="003453DE">
            <w:pPr>
              <w:rPr>
                <w:rFonts w:ascii="Arial" w:hAnsi="Arial" w:cs="Arial"/>
                <w:sz w:val="16"/>
                <w:szCs w:val="16"/>
              </w:rPr>
            </w:pPr>
            <w:r w:rsidRPr="004115A1">
              <w:rPr>
                <w:rFonts w:ascii="Arial" w:hAnsi="Arial" w:cs="Arial"/>
                <w:sz w:val="16"/>
                <w:szCs w:val="16"/>
              </w:rPr>
              <w:t xml:space="preserve">Fiscal Responsibility Act fully restored by the end December 2023 </w:t>
            </w:r>
          </w:p>
          <w:p w14:paraId="27C90C39" w14:textId="77777777" w:rsidR="003453DE" w:rsidRPr="004115A1" w:rsidRDefault="003453DE" w:rsidP="003453DE">
            <w:pPr>
              <w:rPr>
                <w:rFonts w:ascii="Arial" w:hAnsi="Arial" w:cs="Arial"/>
                <w:sz w:val="16"/>
                <w:szCs w:val="16"/>
              </w:rPr>
            </w:pPr>
          </w:p>
          <w:p w14:paraId="66E6AF03" w14:textId="77777777" w:rsidR="003453DE" w:rsidRPr="004115A1" w:rsidRDefault="003453DE" w:rsidP="003453DE">
            <w:pPr>
              <w:rPr>
                <w:rFonts w:ascii="Arial" w:hAnsi="Arial" w:cs="Arial"/>
                <w:sz w:val="16"/>
                <w:szCs w:val="16"/>
              </w:rPr>
            </w:pPr>
            <w:r w:rsidRPr="004115A1">
              <w:rPr>
                <w:rFonts w:ascii="Arial" w:hAnsi="Arial" w:cs="Arial"/>
                <w:sz w:val="16"/>
                <w:szCs w:val="16"/>
              </w:rPr>
              <w:t>(Yes, No)</w:t>
            </w:r>
          </w:p>
          <w:p w14:paraId="3AD4EACB" w14:textId="42501938" w:rsidR="003453DE" w:rsidRPr="004115A1" w:rsidRDefault="003453DE" w:rsidP="003453DE">
            <w:pPr>
              <w:rPr>
                <w:rFonts w:ascii="Arial" w:hAnsi="Arial" w:cs="Arial"/>
                <w:sz w:val="16"/>
                <w:szCs w:val="16"/>
              </w:rPr>
            </w:pPr>
            <w:r w:rsidRPr="004115A1">
              <w:rPr>
                <w:rFonts w:ascii="Arial" w:hAnsi="Arial" w:cs="Arial"/>
                <w:sz w:val="16"/>
                <w:szCs w:val="16"/>
              </w:rPr>
              <w:t>Fiscal Rules suspended till end 2025</w:t>
            </w:r>
          </w:p>
        </w:tc>
        <w:tc>
          <w:tcPr>
            <w:tcW w:w="1227" w:type="dxa"/>
            <w:tcBorders>
              <w:top w:val="single" w:sz="4" w:space="0" w:color="auto"/>
              <w:left w:val="single" w:sz="4" w:space="0" w:color="auto"/>
              <w:bottom w:val="single" w:sz="4" w:space="0" w:color="auto"/>
              <w:right w:val="single" w:sz="4" w:space="0" w:color="auto"/>
            </w:tcBorders>
          </w:tcPr>
          <w:p w14:paraId="15404C62" w14:textId="77777777" w:rsidR="003453DE" w:rsidRPr="004115A1" w:rsidRDefault="003453DE" w:rsidP="003453DE">
            <w:pPr>
              <w:rPr>
                <w:rFonts w:ascii="Arial" w:hAnsi="Arial" w:cs="Arial"/>
                <w:sz w:val="16"/>
                <w:szCs w:val="16"/>
              </w:rPr>
            </w:pPr>
          </w:p>
        </w:tc>
        <w:tc>
          <w:tcPr>
            <w:tcW w:w="930" w:type="dxa"/>
            <w:tcBorders>
              <w:top w:val="single" w:sz="4" w:space="0" w:color="auto"/>
              <w:left w:val="single" w:sz="4" w:space="0" w:color="auto"/>
              <w:bottom w:val="single" w:sz="4" w:space="0" w:color="auto"/>
              <w:right w:val="single" w:sz="4" w:space="0" w:color="auto"/>
            </w:tcBorders>
            <w:hideMark/>
          </w:tcPr>
          <w:p w14:paraId="5EBF0EE3" w14:textId="77777777" w:rsidR="003453DE" w:rsidRPr="004115A1" w:rsidRDefault="003453DE" w:rsidP="003453DE">
            <w:pPr>
              <w:rPr>
                <w:rFonts w:ascii="Arial" w:hAnsi="Arial" w:cs="Arial"/>
                <w:sz w:val="16"/>
                <w:szCs w:val="16"/>
              </w:rPr>
            </w:pPr>
            <w:r w:rsidRPr="004115A1">
              <w:rPr>
                <w:rFonts w:ascii="Arial" w:hAnsi="Arial" w:cs="Arial"/>
                <w:sz w:val="16"/>
                <w:szCs w:val="16"/>
              </w:rPr>
              <w:t>No</w:t>
            </w:r>
          </w:p>
        </w:tc>
        <w:tc>
          <w:tcPr>
            <w:tcW w:w="1159" w:type="dxa"/>
            <w:tcBorders>
              <w:top w:val="single" w:sz="4" w:space="0" w:color="auto"/>
              <w:left w:val="single" w:sz="4" w:space="0" w:color="auto"/>
              <w:bottom w:val="single" w:sz="4" w:space="0" w:color="auto"/>
              <w:right w:val="single" w:sz="4" w:space="0" w:color="auto"/>
            </w:tcBorders>
            <w:hideMark/>
          </w:tcPr>
          <w:p w14:paraId="62AAF8A6" w14:textId="77777777" w:rsidR="003453DE" w:rsidRPr="004115A1" w:rsidRDefault="003453DE" w:rsidP="003453DE">
            <w:pPr>
              <w:rPr>
                <w:rFonts w:ascii="Arial" w:hAnsi="Arial" w:cs="Arial"/>
                <w:sz w:val="16"/>
                <w:szCs w:val="16"/>
              </w:rPr>
            </w:pPr>
            <w:r w:rsidRPr="004115A1">
              <w:rPr>
                <w:rFonts w:ascii="Arial" w:hAnsi="Arial" w:cs="Arial"/>
                <w:sz w:val="16"/>
                <w:szCs w:val="16"/>
              </w:rPr>
              <w:t>No</w:t>
            </w:r>
          </w:p>
        </w:tc>
        <w:tc>
          <w:tcPr>
            <w:tcW w:w="1951" w:type="dxa"/>
            <w:tcBorders>
              <w:top w:val="single" w:sz="4" w:space="0" w:color="auto"/>
              <w:left w:val="single" w:sz="4" w:space="0" w:color="auto"/>
              <w:bottom w:val="single" w:sz="4" w:space="0" w:color="auto"/>
              <w:right w:val="single" w:sz="4" w:space="0" w:color="auto"/>
            </w:tcBorders>
          </w:tcPr>
          <w:p w14:paraId="5861302F" w14:textId="77777777" w:rsidR="003453DE" w:rsidRPr="004115A1" w:rsidRDefault="003453DE" w:rsidP="003453DE">
            <w:pPr>
              <w:rPr>
                <w:rFonts w:ascii="Arial" w:hAnsi="Arial" w:cs="Arial"/>
                <w:sz w:val="16"/>
                <w:szCs w:val="16"/>
              </w:rPr>
            </w:pPr>
            <w:r w:rsidRPr="004115A1">
              <w:rPr>
                <w:rFonts w:ascii="Arial" w:hAnsi="Arial" w:cs="Arial"/>
                <w:sz w:val="16"/>
                <w:szCs w:val="16"/>
              </w:rPr>
              <w:t>Primary Balance (Cash) percent of GDP is -GH¢35.4b and -4.4% of GDP as at end June, 2023</w:t>
            </w:r>
          </w:p>
          <w:p w14:paraId="5411DE82" w14:textId="77777777" w:rsidR="003453DE" w:rsidRPr="004115A1" w:rsidRDefault="003453DE" w:rsidP="003453DE">
            <w:pPr>
              <w:rPr>
                <w:rFonts w:ascii="Arial" w:hAnsi="Arial" w:cs="Arial"/>
                <w:sz w:val="16"/>
                <w:szCs w:val="16"/>
              </w:rPr>
            </w:pPr>
          </w:p>
        </w:tc>
        <w:tc>
          <w:tcPr>
            <w:tcW w:w="2221" w:type="dxa"/>
            <w:tcBorders>
              <w:top w:val="single" w:sz="4" w:space="0" w:color="auto"/>
              <w:left w:val="single" w:sz="4" w:space="0" w:color="auto"/>
              <w:bottom w:val="single" w:sz="4" w:space="0" w:color="auto"/>
              <w:right w:val="single" w:sz="4" w:space="0" w:color="auto"/>
            </w:tcBorders>
            <w:hideMark/>
          </w:tcPr>
          <w:p w14:paraId="4C91F1C6" w14:textId="43AB04E0" w:rsidR="003453DE" w:rsidRPr="004115A1" w:rsidRDefault="004115A1" w:rsidP="003453DE">
            <w:pPr>
              <w:rPr>
                <w:rFonts w:ascii="Arial" w:hAnsi="Arial" w:cs="Arial"/>
                <w:sz w:val="16"/>
                <w:szCs w:val="16"/>
              </w:rPr>
            </w:pPr>
            <w:r w:rsidRPr="004115A1">
              <w:rPr>
                <w:rFonts w:ascii="Arial" w:hAnsi="Arial" w:cs="Arial"/>
                <w:sz w:val="16"/>
                <w:szCs w:val="16"/>
              </w:rPr>
              <w:t xml:space="preserve">2023 </w:t>
            </w:r>
            <w:r w:rsidR="003453DE" w:rsidRPr="004115A1">
              <w:rPr>
                <w:rFonts w:ascii="Arial" w:hAnsi="Arial" w:cs="Arial"/>
                <w:sz w:val="16"/>
                <w:szCs w:val="16"/>
              </w:rPr>
              <w:t>Mid-Year fiscal policy statement.  Appendix 2A page 105</w:t>
            </w:r>
          </w:p>
        </w:tc>
        <w:tc>
          <w:tcPr>
            <w:tcW w:w="1405" w:type="dxa"/>
            <w:tcBorders>
              <w:top w:val="single" w:sz="4" w:space="0" w:color="auto"/>
              <w:left w:val="single" w:sz="4" w:space="0" w:color="auto"/>
              <w:bottom w:val="single" w:sz="4" w:space="0" w:color="auto"/>
              <w:right w:val="single" w:sz="4" w:space="0" w:color="auto"/>
            </w:tcBorders>
            <w:hideMark/>
          </w:tcPr>
          <w:p w14:paraId="15F51CE3" w14:textId="5C6D7D86" w:rsidR="003453DE" w:rsidRPr="004115A1" w:rsidRDefault="003453DE" w:rsidP="003453DE">
            <w:pPr>
              <w:rPr>
                <w:rFonts w:ascii="Arial" w:hAnsi="Arial" w:cs="Arial"/>
                <w:sz w:val="16"/>
                <w:szCs w:val="16"/>
              </w:rPr>
            </w:pPr>
            <w:r w:rsidRPr="004115A1">
              <w:rPr>
                <w:rFonts w:ascii="Arial" w:hAnsi="Arial" w:cs="Arial"/>
                <w:sz w:val="16"/>
                <w:szCs w:val="16"/>
              </w:rPr>
              <w:t>On course to restoring Fiscal Rules by 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EFC7" w14:textId="77777777" w:rsidR="003453DE" w:rsidRPr="004115A1" w:rsidRDefault="003453DE" w:rsidP="003453DE">
            <w:pPr>
              <w:rPr>
                <w:rFonts w:ascii="Arial" w:hAnsi="Arial" w:cs="Arial"/>
                <w:sz w:val="16"/>
                <w:szCs w:val="16"/>
              </w:rPr>
            </w:pPr>
          </w:p>
        </w:tc>
      </w:tr>
      <w:tr w:rsidR="004115A1" w:rsidRPr="004115A1" w14:paraId="17BEBAA3" w14:textId="77777777" w:rsidTr="004D00A8">
        <w:trPr>
          <w:trHeight w:val="266"/>
        </w:trPr>
        <w:tc>
          <w:tcPr>
            <w:tcW w:w="2163" w:type="dxa"/>
            <w:tcBorders>
              <w:top w:val="single" w:sz="4" w:space="0" w:color="auto"/>
              <w:left w:val="single" w:sz="4" w:space="0" w:color="auto"/>
              <w:bottom w:val="single" w:sz="4" w:space="0" w:color="auto"/>
              <w:right w:val="single" w:sz="4" w:space="0" w:color="auto"/>
            </w:tcBorders>
          </w:tcPr>
          <w:p w14:paraId="2C3DCCD3" w14:textId="77777777" w:rsidR="004D00A8" w:rsidRPr="004115A1" w:rsidRDefault="004D00A8">
            <w:pPr>
              <w:rPr>
                <w:rFonts w:ascii="Arial" w:hAnsi="Arial" w:cs="Arial"/>
                <w:b/>
                <w:sz w:val="16"/>
                <w:szCs w:val="16"/>
              </w:rPr>
            </w:pPr>
          </w:p>
        </w:tc>
        <w:tc>
          <w:tcPr>
            <w:tcW w:w="11539" w:type="dxa"/>
            <w:gridSpan w:val="8"/>
            <w:tcBorders>
              <w:top w:val="single" w:sz="4" w:space="0" w:color="auto"/>
              <w:left w:val="single" w:sz="4" w:space="0" w:color="auto"/>
              <w:bottom w:val="single" w:sz="4" w:space="0" w:color="auto"/>
              <w:right w:val="single" w:sz="4" w:space="0" w:color="auto"/>
            </w:tcBorders>
          </w:tcPr>
          <w:p w14:paraId="59E77758" w14:textId="77777777" w:rsidR="004D00A8" w:rsidRPr="004115A1" w:rsidRDefault="004D00A8">
            <w:pPr>
              <w:widowControl w:val="0"/>
              <w:suppressAutoHyphens/>
              <w:rPr>
                <w:rFonts w:ascii="Arial" w:eastAsia="Carlito" w:hAnsi="Arial" w:cs="Arial"/>
                <w:b/>
                <w:sz w:val="16"/>
                <w:szCs w:val="16"/>
              </w:rPr>
            </w:pPr>
            <w:r w:rsidRPr="004115A1">
              <w:rPr>
                <w:rFonts w:ascii="Arial" w:eastAsia="Calibri" w:hAnsi="Arial" w:cs="Arial"/>
                <w:b/>
                <w:bCs/>
                <w:sz w:val="16"/>
                <w:szCs w:val="16"/>
                <w:lang w:val="en-GB"/>
              </w:rPr>
              <w:t xml:space="preserve">2.5 </w:t>
            </w:r>
            <w:r w:rsidRPr="004115A1">
              <w:rPr>
                <w:rFonts w:ascii="Arial" w:eastAsia="Carlito" w:hAnsi="Arial" w:cs="Arial"/>
                <w:b/>
                <w:sz w:val="16"/>
                <w:szCs w:val="16"/>
              </w:rPr>
              <w:t>PETROLEUM SALES</w:t>
            </w:r>
          </w:p>
          <w:p w14:paraId="1FDA60C2" w14:textId="77777777" w:rsidR="004D00A8" w:rsidRPr="004115A1" w:rsidRDefault="004D00A8">
            <w:pPr>
              <w:rPr>
                <w:rFonts w:ascii="Arial" w:hAnsi="Arial" w:cs="Arial"/>
                <w:sz w:val="16"/>
                <w:szCs w:val="16"/>
              </w:rPr>
            </w:pPr>
          </w:p>
        </w:tc>
      </w:tr>
      <w:tr w:rsidR="004115A1" w:rsidRPr="004115A1" w14:paraId="79A15B1F" w14:textId="77777777" w:rsidTr="00F31D88">
        <w:trPr>
          <w:trHeight w:val="701"/>
        </w:trPr>
        <w:tc>
          <w:tcPr>
            <w:tcW w:w="2163" w:type="dxa"/>
            <w:tcBorders>
              <w:top w:val="single" w:sz="4" w:space="0" w:color="auto"/>
              <w:left w:val="single" w:sz="4" w:space="0" w:color="auto"/>
              <w:bottom w:val="single" w:sz="4" w:space="0" w:color="auto"/>
              <w:right w:val="single" w:sz="4" w:space="0" w:color="auto"/>
            </w:tcBorders>
            <w:hideMark/>
          </w:tcPr>
          <w:p w14:paraId="31EBBE20" w14:textId="77777777" w:rsidR="006A040E" w:rsidRPr="004115A1" w:rsidRDefault="006A040E" w:rsidP="00F31D88">
            <w:pPr>
              <w:rPr>
                <w:rFonts w:ascii="Arial" w:hAnsi="Arial" w:cs="Arial"/>
                <w:b/>
                <w:sz w:val="16"/>
                <w:szCs w:val="16"/>
              </w:rPr>
            </w:pPr>
            <w:r w:rsidRPr="004115A1">
              <w:rPr>
                <w:rFonts w:ascii="Arial" w:hAnsi="Arial" w:cs="Arial"/>
                <w:b/>
                <w:sz w:val="16"/>
                <w:szCs w:val="16"/>
              </w:rPr>
              <w:t>COMMENTS/MILESTONES</w:t>
            </w:r>
          </w:p>
        </w:tc>
        <w:tc>
          <w:tcPr>
            <w:tcW w:w="1230" w:type="dxa"/>
            <w:tcBorders>
              <w:top w:val="single" w:sz="4" w:space="0" w:color="auto"/>
              <w:left w:val="single" w:sz="4" w:space="0" w:color="auto"/>
              <w:bottom w:val="single" w:sz="4" w:space="0" w:color="auto"/>
              <w:right w:val="single" w:sz="4" w:space="0" w:color="auto"/>
            </w:tcBorders>
            <w:hideMark/>
          </w:tcPr>
          <w:p w14:paraId="3BE9B056" w14:textId="77777777" w:rsidR="006A040E" w:rsidRPr="004115A1" w:rsidRDefault="006A040E" w:rsidP="00F31D88">
            <w:pPr>
              <w:rPr>
                <w:rFonts w:ascii="Arial" w:hAnsi="Arial" w:cs="Arial"/>
                <w:b/>
                <w:sz w:val="16"/>
                <w:szCs w:val="16"/>
              </w:rPr>
            </w:pPr>
            <w:r w:rsidRPr="004115A1">
              <w:rPr>
                <w:rFonts w:ascii="Arial" w:hAnsi="Arial" w:cs="Arial"/>
                <w:b/>
                <w:sz w:val="16"/>
                <w:szCs w:val="16"/>
              </w:rPr>
              <w:t>INDICATOR</w:t>
            </w:r>
          </w:p>
        </w:tc>
        <w:tc>
          <w:tcPr>
            <w:tcW w:w="1227" w:type="dxa"/>
            <w:tcBorders>
              <w:top w:val="single" w:sz="4" w:space="0" w:color="auto"/>
              <w:left w:val="single" w:sz="4" w:space="0" w:color="auto"/>
              <w:bottom w:val="single" w:sz="4" w:space="0" w:color="auto"/>
              <w:right w:val="single" w:sz="4" w:space="0" w:color="auto"/>
            </w:tcBorders>
            <w:hideMark/>
          </w:tcPr>
          <w:p w14:paraId="0F1E9D80" w14:textId="77777777" w:rsidR="006A040E" w:rsidRPr="004115A1" w:rsidRDefault="006A040E" w:rsidP="00F31D88">
            <w:pPr>
              <w:rPr>
                <w:rFonts w:ascii="Arial" w:hAnsi="Arial" w:cs="Arial"/>
                <w:b/>
                <w:sz w:val="16"/>
                <w:szCs w:val="16"/>
              </w:rPr>
            </w:pPr>
            <w:r w:rsidRPr="004115A1">
              <w:rPr>
                <w:rFonts w:ascii="Arial" w:hAnsi="Arial" w:cs="Arial"/>
                <w:b/>
                <w:sz w:val="16"/>
                <w:szCs w:val="16"/>
              </w:rPr>
              <w:t>DEFINITION</w:t>
            </w:r>
          </w:p>
        </w:tc>
        <w:tc>
          <w:tcPr>
            <w:tcW w:w="930" w:type="dxa"/>
            <w:tcBorders>
              <w:top w:val="single" w:sz="4" w:space="0" w:color="auto"/>
              <w:left w:val="single" w:sz="4" w:space="0" w:color="auto"/>
              <w:bottom w:val="single" w:sz="4" w:space="0" w:color="auto"/>
              <w:right w:val="single" w:sz="4" w:space="0" w:color="auto"/>
            </w:tcBorders>
            <w:hideMark/>
          </w:tcPr>
          <w:p w14:paraId="248CEB34" w14:textId="77777777" w:rsidR="006A040E" w:rsidRPr="004115A1" w:rsidRDefault="006A040E" w:rsidP="00F31D88">
            <w:pPr>
              <w:rPr>
                <w:rFonts w:ascii="Arial" w:hAnsi="Arial" w:cs="Arial"/>
                <w:b/>
                <w:sz w:val="16"/>
                <w:szCs w:val="16"/>
              </w:rPr>
            </w:pPr>
            <w:r w:rsidRPr="004115A1">
              <w:rPr>
                <w:rFonts w:ascii="Arial" w:hAnsi="Arial" w:cs="Arial"/>
                <w:b/>
                <w:sz w:val="16"/>
                <w:szCs w:val="16"/>
              </w:rPr>
              <w:t>BASELINE 2021</w:t>
            </w:r>
          </w:p>
        </w:tc>
        <w:tc>
          <w:tcPr>
            <w:tcW w:w="1159" w:type="dxa"/>
            <w:tcBorders>
              <w:top w:val="single" w:sz="4" w:space="0" w:color="auto"/>
              <w:left w:val="single" w:sz="4" w:space="0" w:color="auto"/>
              <w:bottom w:val="single" w:sz="4" w:space="0" w:color="auto"/>
              <w:right w:val="single" w:sz="4" w:space="0" w:color="auto"/>
            </w:tcBorders>
            <w:hideMark/>
          </w:tcPr>
          <w:p w14:paraId="4D27EA1B" w14:textId="77777777" w:rsidR="006A040E" w:rsidRPr="004115A1" w:rsidRDefault="006A040E" w:rsidP="00F31D88">
            <w:pPr>
              <w:rPr>
                <w:rFonts w:ascii="Arial" w:hAnsi="Arial" w:cs="Arial"/>
                <w:b/>
                <w:sz w:val="16"/>
                <w:szCs w:val="16"/>
              </w:rPr>
            </w:pPr>
            <w:r w:rsidRPr="004115A1">
              <w:rPr>
                <w:rFonts w:ascii="Arial" w:hAnsi="Arial" w:cs="Arial"/>
                <w:b/>
                <w:sz w:val="16"/>
                <w:szCs w:val="16"/>
              </w:rPr>
              <w:t>END TARGET 2023</w:t>
            </w:r>
          </w:p>
        </w:tc>
        <w:tc>
          <w:tcPr>
            <w:tcW w:w="1951" w:type="dxa"/>
            <w:tcBorders>
              <w:top w:val="single" w:sz="4" w:space="0" w:color="auto"/>
              <w:left w:val="single" w:sz="4" w:space="0" w:color="auto"/>
              <w:bottom w:val="single" w:sz="4" w:space="0" w:color="auto"/>
              <w:right w:val="single" w:sz="4" w:space="0" w:color="auto"/>
            </w:tcBorders>
            <w:hideMark/>
          </w:tcPr>
          <w:p w14:paraId="0F4CDAD7" w14:textId="77777777" w:rsidR="006A040E" w:rsidRPr="004115A1" w:rsidRDefault="006A040E" w:rsidP="00F31D88">
            <w:pPr>
              <w:rPr>
                <w:rFonts w:ascii="Arial" w:hAnsi="Arial" w:cs="Arial"/>
                <w:b/>
                <w:sz w:val="16"/>
                <w:szCs w:val="16"/>
              </w:rPr>
            </w:pPr>
            <w:r w:rsidRPr="004115A1">
              <w:rPr>
                <w:rFonts w:ascii="Arial" w:hAnsi="Arial" w:cs="Arial"/>
                <w:b/>
                <w:sz w:val="16"/>
                <w:szCs w:val="16"/>
              </w:rPr>
              <w:t>PROGRESS AS AT END JUNE, 2023</w:t>
            </w:r>
          </w:p>
        </w:tc>
        <w:tc>
          <w:tcPr>
            <w:tcW w:w="2221" w:type="dxa"/>
            <w:tcBorders>
              <w:top w:val="single" w:sz="4" w:space="0" w:color="auto"/>
              <w:left w:val="single" w:sz="4" w:space="0" w:color="auto"/>
              <w:bottom w:val="single" w:sz="4" w:space="0" w:color="auto"/>
              <w:right w:val="single" w:sz="4" w:space="0" w:color="auto"/>
            </w:tcBorders>
            <w:hideMark/>
          </w:tcPr>
          <w:p w14:paraId="12741318" w14:textId="77777777" w:rsidR="006A040E" w:rsidRPr="004115A1" w:rsidRDefault="006A040E" w:rsidP="00F31D88">
            <w:pPr>
              <w:rPr>
                <w:rFonts w:ascii="Arial" w:hAnsi="Arial" w:cs="Arial"/>
                <w:b/>
                <w:sz w:val="16"/>
                <w:szCs w:val="16"/>
              </w:rPr>
            </w:pPr>
            <w:r w:rsidRPr="004115A1">
              <w:rPr>
                <w:rFonts w:ascii="Arial" w:hAnsi="Arial" w:cs="Arial"/>
                <w:b/>
                <w:sz w:val="16"/>
                <w:szCs w:val="16"/>
              </w:rPr>
              <w:t>MEANS OF VERIFICATION</w:t>
            </w:r>
          </w:p>
        </w:tc>
        <w:tc>
          <w:tcPr>
            <w:tcW w:w="1405" w:type="dxa"/>
            <w:tcBorders>
              <w:top w:val="single" w:sz="4" w:space="0" w:color="auto"/>
              <w:left w:val="single" w:sz="4" w:space="0" w:color="auto"/>
              <w:bottom w:val="single" w:sz="4" w:space="0" w:color="auto"/>
              <w:right w:val="single" w:sz="4" w:space="0" w:color="auto"/>
            </w:tcBorders>
            <w:hideMark/>
          </w:tcPr>
          <w:p w14:paraId="0A0D40E9" w14:textId="77777777" w:rsidR="006A040E" w:rsidRPr="004115A1" w:rsidRDefault="006A040E" w:rsidP="00F31D88">
            <w:pPr>
              <w:rPr>
                <w:rFonts w:ascii="Arial" w:hAnsi="Arial" w:cs="Arial"/>
                <w:b/>
                <w:sz w:val="16"/>
                <w:szCs w:val="16"/>
              </w:rPr>
            </w:pPr>
            <w:r w:rsidRPr="004115A1">
              <w:rPr>
                <w:rFonts w:ascii="Arial" w:hAnsi="Arial" w:cs="Arial"/>
                <w:b/>
                <w:sz w:val="16"/>
                <w:szCs w:val="16"/>
              </w:rPr>
              <w:t>REMARK (NEXT STEPS)</w:t>
            </w:r>
          </w:p>
        </w:tc>
        <w:tc>
          <w:tcPr>
            <w:tcW w:w="1416" w:type="dxa"/>
            <w:tcBorders>
              <w:top w:val="single" w:sz="4" w:space="0" w:color="auto"/>
              <w:left w:val="single" w:sz="4" w:space="0" w:color="auto"/>
              <w:bottom w:val="single" w:sz="4" w:space="0" w:color="auto"/>
              <w:right w:val="single" w:sz="4" w:space="0" w:color="auto"/>
            </w:tcBorders>
            <w:hideMark/>
          </w:tcPr>
          <w:p w14:paraId="397FDF2C" w14:textId="77777777" w:rsidR="006A040E" w:rsidRPr="004115A1" w:rsidRDefault="006A040E" w:rsidP="00F31D88">
            <w:pPr>
              <w:rPr>
                <w:rFonts w:ascii="Arial" w:hAnsi="Arial" w:cs="Arial"/>
                <w:b/>
                <w:sz w:val="16"/>
                <w:szCs w:val="16"/>
              </w:rPr>
            </w:pPr>
            <w:r w:rsidRPr="004115A1">
              <w:rPr>
                <w:rFonts w:ascii="Arial" w:hAnsi="Arial" w:cs="Arial"/>
                <w:b/>
                <w:sz w:val="16"/>
                <w:szCs w:val="16"/>
              </w:rPr>
              <w:t>RESPONSIBILITY</w:t>
            </w:r>
          </w:p>
        </w:tc>
      </w:tr>
      <w:tr w:rsidR="004115A1" w:rsidRPr="004115A1" w14:paraId="04A2C8B1" w14:textId="77777777" w:rsidTr="006A040E">
        <w:trPr>
          <w:trHeight w:val="266"/>
        </w:trPr>
        <w:tc>
          <w:tcPr>
            <w:tcW w:w="2163" w:type="dxa"/>
            <w:tcBorders>
              <w:top w:val="single" w:sz="4" w:space="0" w:color="00000A"/>
              <w:left w:val="single" w:sz="4" w:space="0" w:color="00000A"/>
              <w:bottom w:val="single" w:sz="4" w:space="0" w:color="00000A"/>
              <w:right w:val="single" w:sz="4" w:space="0" w:color="00000A"/>
            </w:tcBorders>
            <w:hideMark/>
          </w:tcPr>
          <w:p w14:paraId="0B0AAF9F" w14:textId="77777777" w:rsidR="004D00A8" w:rsidRPr="004115A1" w:rsidRDefault="004D00A8">
            <w:pPr>
              <w:rPr>
                <w:rFonts w:ascii="Arial" w:hAnsi="Arial" w:cs="Arial"/>
                <w:b/>
                <w:sz w:val="16"/>
                <w:szCs w:val="16"/>
              </w:rPr>
            </w:pPr>
            <w:r w:rsidRPr="004115A1">
              <w:rPr>
                <w:rFonts w:ascii="Arial" w:eastAsia="Calibri" w:hAnsi="Arial" w:cs="Arial"/>
                <w:b/>
                <w:sz w:val="16"/>
                <w:szCs w:val="16"/>
                <w:lang w:val="en-GB"/>
              </w:rPr>
              <w:t>Commitment 2.5.1</w:t>
            </w:r>
            <w:r w:rsidRPr="004115A1">
              <w:rPr>
                <w:rFonts w:ascii="Arial" w:eastAsia="Calibri" w:hAnsi="Arial" w:cs="Arial"/>
                <w:sz w:val="16"/>
                <w:szCs w:val="16"/>
                <w:lang w:val="en-GB"/>
              </w:rPr>
              <w:t xml:space="preserve">: Most of Ghana’s petroleum revenue comes from two long-term sales contracts with Russian Trader </w:t>
            </w:r>
            <w:proofErr w:type="spellStart"/>
            <w:r w:rsidRPr="004115A1">
              <w:rPr>
                <w:rFonts w:ascii="Arial" w:eastAsia="Calibri" w:hAnsi="Arial" w:cs="Arial"/>
                <w:sz w:val="16"/>
                <w:szCs w:val="16"/>
                <w:lang w:val="en-GB"/>
              </w:rPr>
              <w:t>Litasco</w:t>
            </w:r>
            <w:proofErr w:type="spellEnd"/>
            <w:r w:rsidRPr="004115A1">
              <w:rPr>
                <w:rFonts w:ascii="Arial" w:eastAsia="Calibri" w:hAnsi="Arial" w:cs="Arial"/>
                <w:sz w:val="16"/>
                <w:szCs w:val="16"/>
                <w:lang w:val="en-GB"/>
              </w:rPr>
              <w:t xml:space="preserve"> and Chinese owned </w:t>
            </w:r>
            <w:proofErr w:type="spellStart"/>
            <w:r w:rsidRPr="004115A1">
              <w:rPr>
                <w:rFonts w:ascii="Arial" w:eastAsia="Calibri" w:hAnsi="Arial" w:cs="Arial"/>
                <w:sz w:val="16"/>
                <w:szCs w:val="16"/>
                <w:lang w:val="en-GB"/>
              </w:rPr>
              <w:t>Unipec</w:t>
            </w:r>
            <w:proofErr w:type="spellEnd"/>
            <w:r w:rsidRPr="004115A1">
              <w:rPr>
                <w:rFonts w:ascii="Arial" w:eastAsia="Calibri" w:hAnsi="Arial" w:cs="Arial"/>
                <w:sz w:val="16"/>
                <w:szCs w:val="16"/>
                <w:lang w:val="en-GB"/>
              </w:rPr>
              <w:t xml:space="preserve"> Asia. The Government commits to make these long-term Petroleum sales contracts open by December 2022</w:t>
            </w:r>
          </w:p>
        </w:tc>
        <w:tc>
          <w:tcPr>
            <w:tcW w:w="1230" w:type="dxa"/>
            <w:tcBorders>
              <w:top w:val="single" w:sz="4" w:space="0" w:color="00000A"/>
              <w:left w:val="single" w:sz="4" w:space="0" w:color="00000A"/>
              <w:bottom w:val="single" w:sz="4" w:space="0" w:color="00000A"/>
              <w:right w:val="single" w:sz="4" w:space="0" w:color="00000A"/>
            </w:tcBorders>
          </w:tcPr>
          <w:p w14:paraId="34002747" w14:textId="77777777" w:rsidR="004D00A8" w:rsidRPr="004115A1" w:rsidRDefault="004D00A8">
            <w:pPr>
              <w:widowControl w:val="0"/>
              <w:suppressAutoHyphens/>
              <w:rPr>
                <w:rFonts w:ascii="Arial" w:eastAsia="Calibri" w:hAnsi="Arial" w:cs="Arial"/>
                <w:sz w:val="16"/>
                <w:szCs w:val="16"/>
                <w:lang w:val="en-GB"/>
              </w:rPr>
            </w:pPr>
            <w:r w:rsidRPr="004115A1">
              <w:rPr>
                <w:rFonts w:ascii="Arial" w:eastAsia="Calibri" w:hAnsi="Arial" w:cs="Arial"/>
                <w:sz w:val="16"/>
                <w:szCs w:val="16"/>
                <w:lang w:val="en-GB"/>
              </w:rPr>
              <w:t>Long-term Petroleum sales contracts open and transparent</w:t>
            </w:r>
          </w:p>
          <w:p w14:paraId="04EF9155" w14:textId="77777777" w:rsidR="004D00A8" w:rsidRPr="004115A1" w:rsidRDefault="004D00A8">
            <w:pPr>
              <w:widowControl w:val="0"/>
              <w:suppressAutoHyphens/>
              <w:rPr>
                <w:rFonts w:ascii="Arial" w:eastAsia="Calibri" w:hAnsi="Arial" w:cs="Arial"/>
                <w:sz w:val="16"/>
                <w:szCs w:val="16"/>
                <w:lang w:val="en-GB"/>
              </w:rPr>
            </w:pPr>
          </w:p>
          <w:p w14:paraId="75A728BE"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(Yes, No)</w:t>
            </w:r>
          </w:p>
        </w:tc>
        <w:tc>
          <w:tcPr>
            <w:tcW w:w="1227" w:type="dxa"/>
            <w:tcBorders>
              <w:top w:val="single" w:sz="4" w:space="0" w:color="00000A"/>
              <w:left w:val="single" w:sz="4" w:space="0" w:color="00000A"/>
              <w:bottom w:val="single" w:sz="4" w:space="0" w:color="00000A"/>
              <w:right w:val="single" w:sz="4" w:space="0" w:color="00000A"/>
            </w:tcBorders>
            <w:hideMark/>
          </w:tcPr>
          <w:p w14:paraId="28D2EA13"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The indicator encapsulates Government intention to make long-term petroleum contracts transparent</w:t>
            </w:r>
          </w:p>
        </w:tc>
        <w:tc>
          <w:tcPr>
            <w:tcW w:w="930" w:type="dxa"/>
            <w:tcBorders>
              <w:top w:val="single" w:sz="4" w:space="0" w:color="00000A"/>
              <w:left w:val="single" w:sz="4" w:space="0" w:color="00000A"/>
              <w:bottom w:val="single" w:sz="4" w:space="0" w:color="00000A"/>
              <w:right w:val="single" w:sz="4" w:space="0" w:color="00000A"/>
            </w:tcBorders>
            <w:hideMark/>
          </w:tcPr>
          <w:p w14:paraId="3E6AA7DB"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No</w:t>
            </w:r>
          </w:p>
        </w:tc>
        <w:tc>
          <w:tcPr>
            <w:tcW w:w="1159" w:type="dxa"/>
            <w:tcBorders>
              <w:top w:val="single" w:sz="4" w:space="0" w:color="00000A"/>
              <w:left w:val="single" w:sz="4" w:space="0" w:color="00000A"/>
              <w:bottom w:val="single" w:sz="4" w:space="0" w:color="00000A"/>
              <w:right w:val="single" w:sz="4" w:space="0" w:color="00000A"/>
            </w:tcBorders>
          </w:tcPr>
          <w:p w14:paraId="1CB644F1" w14:textId="77777777" w:rsidR="004D00A8" w:rsidRPr="004115A1" w:rsidRDefault="004D00A8">
            <w:pPr>
              <w:rPr>
                <w:rFonts w:ascii="Arial" w:hAnsi="Arial" w:cs="Arial"/>
                <w:sz w:val="16"/>
                <w:szCs w:val="16"/>
              </w:rPr>
            </w:pPr>
          </w:p>
        </w:tc>
        <w:tc>
          <w:tcPr>
            <w:tcW w:w="1951" w:type="dxa"/>
            <w:tcBorders>
              <w:top w:val="single" w:sz="4" w:space="0" w:color="00000A"/>
              <w:left w:val="single" w:sz="4" w:space="0" w:color="00000A"/>
              <w:bottom w:val="single" w:sz="4" w:space="0" w:color="00000A"/>
              <w:right w:val="single" w:sz="4" w:space="0" w:color="00000A"/>
            </w:tcBorders>
          </w:tcPr>
          <w:p w14:paraId="177F96DD" w14:textId="7453FC4E" w:rsidR="004D00A8" w:rsidRPr="004115A1" w:rsidRDefault="004D00A8">
            <w:pPr>
              <w:rPr>
                <w:rFonts w:ascii="Arial" w:eastAsia="Calibri" w:hAnsi="Arial" w:cs="Arial"/>
                <w:sz w:val="16"/>
                <w:szCs w:val="16"/>
                <w:lang w:val="en-GB"/>
              </w:rPr>
            </w:pPr>
            <w:r w:rsidRPr="004115A1">
              <w:rPr>
                <w:rFonts w:ascii="Arial" w:eastAsia="Calibri" w:hAnsi="Arial" w:cs="Arial"/>
                <w:sz w:val="16"/>
                <w:szCs w:val="16"/>
                <w:lang w:val="en-GB"/>
              </w:rPr>
              <w:t>Petroleum sales has been entrusted with the National Oil Company (</w:t>
            </w:r>
            <w:r w:rsidR="006A040E" w:rsidRPr="004115A1">
              <w:rPr>
                <w:rFonts w:ascii="Arial" w:eastAsia="Calibri" w:hAnsi="Arial" w:cs="Arial"/>
                <w:sz w:val="16"/>
                <w:szCs w:val="16"/>
                <w:lang w:val="en-GB"/>
              </w:rPr>
              <w:t>i.e.,</w:t>
            </w:r>
            <w:r w:rsidRPr="004115A1">
              <w:rPr>
                <w:rFonts w:ascii="Arial" w:eastAsia="Calibri" w:hAnsi="Arial" w:cs="Arial"/>
                <w:sz w:val="16"/>
                <w:szCs w:val="16"/>
                <w:lang w:val="en-GB"/>
              </w:rPr>
              <w:t xml:space="preserve"> the Ghana National Petroleum Corporation-GNPC). It will be important to state that GNPC is responsible for the sale of crude oil produced by Ghana and her partners (International Oil Companies-IOCs). </w:t>
            </w:r>
          </w:p>
          <w:p w14:paraId="4775E3CE" w14:textId="77777777" w:rsidR="004115A1" w:rsidRPr="004115A1" w:rsidRDefault="004115A1">
            <w:pPr>
              <w:rPr>
                <w:rFonts w:ascii="Arial" w:eastAsia="Calibri" w:hAnsi="Arial" w:cs="Arial"/>
                <w:sz w:val="16"/>
                <w:szCs w:val="16"/>
                <w:lang w:val="en-GB"/>
              </w:rPr>
            </w:pPr>
          </w:p>
          <w:p w14:paraId="14CB5070" w14:textId="7918DD32" w:rsidR="004D00A8" w:rsidRPr="004115A1" w:rsidRDefault="005369B4">
            <w:pPr>
              <w:rPr>
                <w:rFonts w:ascii="Arial" w:hAnsi="Arial" w:cs="Arial"/>
                <w:sz w:val="16"/>
                <w:szCs w:val="16"/>
              </w:rPr>
            </w:pPr>
            <w:r w:rsidRPr="004115A1">
              <w:rPr>
                <w:rFonts w:ascii="Arial" w:eastAsia="Calibri" w:hAnsi="Arial" w:cs="Arial"/>
                <w:sz w:val="16"/>
                <w:szCs w:val="16"/>
                <w:lang w:val="en-GB"/>
              </w:rPr>
              <w:t xml:space="preserve">The revenues obtained from the sale of crude oil produced by the Ghana Government/GNPC is deposited into the Petroleum Holding Fund Account at the Bank of Ghana to be distributed in accordance with the Petroleum Revenue </w:t>
            </w:r>
            <w:r w:rsidRPr="004115A1">
              <w:rPr>
                <w:rFonts w:ascii="Arial" w:eastAsia="Calibri" w:hAnsi="Arial" w:cs="Arial"/>
                <w:sz w:val="16"/>
                <w:szCs w:val="16"/>
                <w:lang w:val="en-GB"/>
              </w:rPr>
              <w:lastRenderedPageBreak/>
              <w:t>Management Act, 2011 (Act 815) and its Amendment Act. 2015 (Act 893)</w:t>
            </w:r>
          </w:p>
        </w:tc>
        <w:tc>
          <w:tcPr>
            <w:tcW w:w="2221" w:type="dxa"/>
            <w:tcBorders>
              <w:top w:val="single" w:sz="4" w:space="0" w:color="00000A"/>
              <w:left w:val="single" w:sz="4" w:space="0" w:color="00000A"/>
              <w:bottom w:val="single" w:sz="4" w:space="0" w:color="00000A"/>
              <w:right w:val="single" w:sz="4" w:space="0" w:color="00000A"/>
            </w:tcBorders>
            <w:hideMark/>
          </w:tcPr>
          <w:p w14:paraId="56D99C59" w14:textId="12E6EA4E" w:rsidR="004D00A8" w:rsidRPr="004115A1" w:rsidRDefault="005369B4">
            <w:pPr>
              <w:rPr>
                <w:rFonts w:ascii="Arial" w:hAnsi="Arial" w:cs="Arial"/>
                <w:sz w:val="16"/>
                <w:szCs w:val="16"/>
              </w:rPr>
            </w:pPr>
            <w:r w:rsidRPr="004115A1">
              <w:rPr>
                <w:rFonts w:ascii="Arial" w:hAnsi="Arial" w:cs="Arial"/>
                <w:sz w:val="16"/>
                <w:szCs w:val="16"/>
              </w:rPr>
              <w:lastRenderedPageBreak/>
              <w:t xml:space="preserve">PRMA Section 1 and 2.  The Minister for Finance is responsible for the </w:t>
            </w:r>
            <w:r w:rsidRPr="004115A1">
              <w:rPr>
                <w:rFonts w:ascii="Arial" w:hAnsi="Arial" w:cs="Arial"/>
                <w:b/>
                <w:bCs/>
                <w:sz w:val="16"/>
                <w:szCs w:val="16"/>
              </w:rPr>
              <w:t>management</w:t>
            </w:r>
            <w:r w:rsidRPr="004115A1">
              <w:rPr>
                <w:rFonts w:ascii="Arial" w:hAnsi="Arial" w:cs="Arial"/>
                <w:sz w:val="16"/>
                <w:szCs w:val="16"/>
              </w:rPr>
              <w:t xml:space="preserve"> of the petroleum </w:t>
            </w:r>
            <w:r w:rsidR="00573652" w:rsidRPr="004115A1">
              <w:rPr>
                <w:rFonts w:ascii="Arial" w:hAnsi="Arial" w:cs="Arial"/>
                <w:sz w:val="16"/>
                <w:szCs w:val="16"/>
              </w:rPr>
              <w:t>revenue</w:t>
            </w:r>
            <w:r w:rsidRPr="004115A1">
              <w:rPr>
                <w:rFonts w:ascii="Arial" w:hAnsi="Arial" w:cs="Arial"/>
                <w:sz w:val="16"/>
                <w:szCs w:val="16"/>
              </w:rPr>
              <w:t xml:space="preserve"> and not the sales, contracts etc.  Those issues are managed by Petroleum Commission, GNPC and the Ministry of Energy</w:t>
            </w:r>
            <w:r w:rsidR="004115A1" w:rsidRPr="004115A1">
              <w:rPr>
                <w:rFonts w:ascii="Arial" w:hAnsi="Arial" w:cs="Arial"/>
                <w:sz w:val="16"/>
                <w:szCs w:val="16"/>
              </w:rPr>
              <w:t>.</w:t>
            </w:r>
          </w:p>
        </w:tc>
        <w:tc>
          <w:tcPr>
            <w:tcW w:w="1405" w:type="dxa"/>
            <w:tcBorders>
              <w:top w:val="single" w:sz="4" w:space="0" w:color="auto"/>
              <w:left w:val="single" w:sz="4" w:space="0" w:color="auto"/>
              <w:bottom w:val="single" w:sz="4" w:space="0" w:color="auto"/>
              <w:right w:val="single" w:sz="4" w:space="0" w:color="auto"/>
            </w:tcBorders>
          </w:tcPr>
          <w:p w14:paraId="754FDCFE" w14:textId="77777777" w:rsidR="004D00A8" w:rsidRPr="004115A1" w:rsidRDefault="004D00A8">
            <w:pPr>
              <w:suppressAutoHyphens/>
              <w:rPr>
                <w:rFonts w:ascii="Arial" w:eastAsia="Calibri" w:hAnsi="Arial" w:cs="Arial"/>
                <w:sz w:val="16"/>
                <w:szCs w:val="16"/>
                <w:lang w:val="en-GB"/>
              </w:rPr>
            </w:pPr>
            <w:r w:rsidRPr="004115A1">
              <w:rPr>
                <w:rFonts w:ascii="Arial" w:eastAsia="Calibri" w:hAnsi="Arial" w:cs="Arial"/>
                <w:sz w:val="16"/>
                <w:szCs w:val="16"/>
                <w:lang w:val="en-GB"/>
              </w:rPr>
              <w:t>We will recommend to the OGP to officially consult, the Ministry of Energy, GNPC for relevant information, explanation, and documentation in connection with all oil contract sales.</w:t>
            </w:r>
          </w:p>
          <w:p w14:paraId="13DDF43D" w14:textId="77777777" w:rsidR="004D00A8" w:rsidRPr="004115A1" w:rsidRDefault="004D00A8">
            <w:pPr>
              <w:suppressAutoHyphens/>
              <w:rPr>
                <w:rFonts w:ascii="Arial" w:eastAsia="Calibri" w:hAnsi="Arial" w:cs="Arial"/>
                <w:sz w:val="16"/>
                <w:szCs w:val="16"/>
                <w:lang w:val="en-GB"/>
              </w:rPr>
            </w:pPr>
          </w:p>
          <w:p w14:paraId="44EF744B"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 xml:space="preserve">The Petroleum Commission can also be of help in this matter. </w:t>
            </w:r>
          </w:p>
        </w:tc>
        <w:tc>
          <w:tcPr>
            <w:tcW w:w="1416" w:type="dxa"/>
            <w:vMerge w:val="restart"/>
            <w:tcBorders>
              <w:top w:val="single" w:sz="4" w:space="0" w:color="auto"/>
              <w:left w:val="single" w:sz="4" w:space="0" w:color="auto"/>
              <w:bottom w:val="single" w:sz="4" w:space="0" w:color="auto"/>
              <w:right w:val="single" w:sz="4" w:space="0" w:color="auto"/>
            </w:tcBorders>
          </w:tcPr>
          <w:p w14:paraId="314D3A90"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r w:rsidRPr="004115A1">
              <w:rPr>
                <w:rFonts w:ascii="Arial" w:eastAsia="Calibri" w:hAnsi="Arial" w:cs="Arial"/>
                <w:b/>
                <w:bCs/>
                <w:sz w:val="16"/>
                <w:szCs w:val="16"/>
                <w:u w:val="single"/>
              </w:rPr>
              <w:t>Responsible Institutions</w:t>
            </w:r>
          </w:p>
          <w:p w14:paraId="7ACC6D91"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r w:rsidRPr="004115A1">
              <w:rPr>
                <w:rFonts w:ascii="Arial" w:eastAsia="Calibri" w:hAnsi="Arial" w:cs="Arial"/>
                <w:sz w:val="16"/>
                <w:szCs w:val="16"/>
                <w:lang w:val="en-GB"/>
              </w:rPr>
              <w:t>Ministry of Finance</w:t>
            </w:r>
          </w:p>
          <w:p w14:paraId="0F9449EA"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p>
          <w:p w14:paraId="46E461C3" w14:textId="77777777" w:rsidR="004D00A8" w:rsidRPr="004115A1" w:rsidRDefault="004D00A8">
            <w:pPr>
              <w:widowControl w:val="0"/>
              <w:pBdr>
                <w:right w:val="single" w:sz="4" w:space="4" w:color="auto"/>
              </w:pBdr>
              <w:suppressAutoHyphens/>
              <w:rPr>
                <w:rFonts w:ascii="Arial" w:eastAsia="Calibri" w:hAnsi="Arial" w:cs="Arial"/>
                <w:b/>
                <w:bCs/>
                <w:sz w:val="16"/>
                <w:szCs w:val="16"/>
                <w:u w:val="single"/>
                <w:lang w:val="en-GB"/>
              </w:rPr>
            </w:pPr>
            <w:r w:rsidRPr="004115A1">
              <w:rPr>
                <w:rFonts w:ascii="Arial" w:eastAsia="Calibri" w:hAnsi="Arial" w:cs="Arial"/>
                <w:b/>
                <w:bCs/>
                <w:sz w:val="16"/>
                <w:szCs w:val="16"/>
                <w:u w:val="single"/>
                <w:lang w:val="en-GB"/>
              </w:rPr>
              <w:t>Other State Actors</w:t>
            </w:r>
          </w:p>
          <w:p w14:paraId="428741D1"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r w:rsidRPr="004115A1">
              <w:rPr>
                <w:rFonts w:ascii="Arial" w:eastAsia="Calibri" w:hAnsi="Arial" w:cs="Arial"/>
                <w:sz w:val="16"/>
                <w:szCs w:val="16"/>
                <w:lang w:val="en-GB"/>
              </w:rPr>
              <w:t>Ministry of Energy</w:t>
            </w:r>
          </w:p>
          <w:p w14:paraId="59F4CFCF"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r w:rsidRPr="004115A1">
              <w:rPr>
                <w:rFonts w:ascii="Arial" w:eastAsia="Calibri" w:hAnsi="Arial" w:cs="Arial"/>
                <w:sz w:val="16"/>
                <w:szCs w:val="16"/>
                <w:lang w:val="en-GB"/>
              </w:rPr>
              <w:t>Ghana National Petroleum Corporation (GNPC)</w:t>
            </w:r>
          </w:p>
          <w:p w14:paraId="1FD50CB8" w14:textId="77777777" w:rsidR="004D00A8" w:rsidRPr="004115A1" w:rsidRDefault="004D00A8">
            <w:pPr>
              <w:widowControl w:val="0"/>
              <w:pBdr>
                <w:right w:val="single" w:sz="4" w:space="4" w:color="auto"/>
              </w:pBdr>
              <w:suppressAutoHyphens/>
              <w:rPr>
                <w:rFonts w:ascii="Arial" w:eastAsia="Calibri" w:hAnsi="Arial" w:cs="Arial"/>
                <w:sz w:val="16"/>
                <w:szCs w:val="16"/>
                <w:lang w:val="en-GB"/>
              </w:rPr>
            </w:pPr>
          </w:p>
          <w:p w14:paraId="4B55C47D" w14:textId="77777777" w:rsidR="004D00A8" w:rsidRPr="004115A1" w:rsidRDefault="004D00A8">
            <w:pPr>
              <w:widowControl w:val="0"/>
              <w:pBdr>
                <w:right w:val="single" w:sz="4" w:space="4" w:color="auto"/>
              </w:pBdr>
              <w:suppressAutoHyphens/>
              <w:rPr>
                <w:rFonts w:ascii="Arial" w:eastAsia="Calibri" w:hAnsi="Arial" w:cs="Arial"/>
                <w:b/>
                <w:bCs/>
                <w:sz w:val="16"/>
                <w:szCs w:val="16"/>
                <w:u w:val="single"/>
              </w:rPr>
            </w:pPr>
            <w:r w:rsidRPr="004115A1">
              <w:rPr>
                <w:rFonts w:ascii="Arial" w:eastAsia="Calibri" w:hAnsi="Arial" w:cs="Arial"/>
                <w:b/>
                <w:bCs/>
                <w:sz w:val="16"/>
                <w:szCs w:val="16"/>
                <w:u w:val="single"/>
              </w:rPr>
              <w:t>Collaborating Institutions</w:t>
            </w:r>
          </w:p>
          <w:p w14:paraId="345FBA7D" w14:textId="77777777" w:rsidR="004D00A8" w:rsidRPr="004115A1" w:rsidRDefault="004D00A8">
            <w:pPr>
              <w:widowControl w:val="0"/>
              <w:suppressAutoHyphens/>
              <w:rPr>
                <w:rFonts w:ascii="Arial" w:eastAsia="Calibri" w:hAnsi="Arial" w:cs="Arial"/>
                <w:sz w:val="16"/>
                <w:szCs w:val="16"/>
                <w:lang w:val="en-GB"/>
              </w:rPr>
            </w:pPr>
            <w:r w:rsidRPr="004115A1">
              <w:rPr>
                <w:rFonts w:ascii="Arial" w:eastAsia="Calibri" w:hAnsi="Arial" w:cs="Arial"/>
                <w:sz w:val="16"/>
                <w:szCs w:val="16"/>
                <w:lang w:val="en-GB"/>
              </w:rPr>
              <w:t>Ghana Extractive Industries Transparency Initiative (GHEITI)</w:t>
            </w:r>
          </w:p>
          <w:p w14:paraId="57822766" w14:textId="77777777" w:rsidR="004D00A8" w:rsidRPr="004115A1" w:rsidRDefault="004D00A8">
            <w:pPr>
              <w:widowControl w:val="0"/>
              <w:suppressAutoHyphens/>
              <w:rPr>
                <w:rFonts w:ascii="Arial" w:eastAsia="Calibri" w:hAnsi="Arial" w:cs="Arial"/>
                <w:sz w:val="16"/>
                <w:szCs w:val="16"/>
                <w:lang w:val="en-GB"/>
              </w:rPr>
            </w:pPr>
            <w:r w:rsidRPr="004115A1">
              <w:rPr>
                <w:rFonts w:ascii="Arial" w:eastAsia="Calibri" w:hAnsi="Arial" w:cs="Arial"/>
                <w:sz w:val="16"/>
                <w:szCs w:val="16"/>
                <w:lang w:val="en-GB"/>
              </w:rPr>
              <w:t>Natural Resource Governance Institute (NRGI)</w:t>
            </w:r>
          </w:p>
          <w:p w14:paraId="372E53AA" w14:textId="77777777" w:rsidR="004D00A8" w:rsidRPr="004115A1" w:rsidRDefault="004D00A8">
            <w:pPr>
              <w:widowControl w:val="0"/>
              <w:suppressAutoHyphens/>
              <w:rPr>
                <w:rFonts w:ascii="Arial" w:eastAsia="Calibri" w:hAnsi="Arial" w:cs="Arial"/>
                <w:b/>
                <w:bCs/>
                <w:sz w:val="16"/>
                <w:szCs w:val="16"/>
                <w:u w:val="single"/>
              </w:rPr>
            </w:pPr>
            <w:r w:rsidRPr="004115A1">
              <w:rPr>
                <w:rFonts w:ascii="Arial" w:eastAsia="Calibri" w:hAnsi="Arial" w:cs="Arial"/>
                <w:sz w:val="16"/>
                <w:szCs w:val="16"/>
                <w:lang w:val="en-GB"/>
              </w:rPr>
              <w:t>Africa Centre for Energy Policy (ACEP)</w:t>
            </w:r>
          </w:p>
          <w:p w14:paraId="074C71E9" w14:textId="77777777" w:rsidR="004D00A8" w:rsidRPr="004115A1" w:rsidRDefault="004D00A8">
            <w:pPr>
              <w:widowControl w:val="0"/>
              <w:suppressAutoHyphens/>
              <w:rPr>
                <w:rFonts w:ascii="Arial" w:eastAsia="Calibri" w:hAnsi="Arial" w:cs="Arial"/>
                <w:sz w:val="16"/>
                <w:szCs w:val="16"/>
                <w:lang w:val="en-GB"/>
              </w:rPr>
            </w:pPr>
          </w:p>
          <w:p w14:paraId="1ABAA042" w14:textId="77777777" w:rsidR="004D00A8" w:rsidRPr="004115A1" w:rsidRDefault="004D00A8">
            <w:pPr>
              <w:rPr>
                <w:rFonts w:ascii="Arial" w:hAnsi="Arial" w:cs="Arial"/>
                <w:sz w:val="16"/>
                <w:szCs w:val="16"/>
              </w:rPr>
            </w:pPr>
          </w:p>
        </w:tc>
      </w:tr>
      <w:tr w:rsidR="004115A1" w:rsidRPr="004115A1" w14:paraId="39DC5170" w14:textId="77777777" w:rsidTr="004D00A8">
        <w:trPr>
          <w:trHeight w:val="266"/>
        </w:trPr>
        <w:tc>
          <w:tcPr>
            <w:tcW w:w="2163" w:type="dxa"/>
            <w:tcBorders>
              <w:top w:val="single" w:sz="4" w:space="0" w:color="00000A"/>
              <w:left w:val="single" w:sz="4" w:space="0" w:color="00000A"/>
              <w:bottom w:val="single" w:sz="4" w:space="0" w:color="00000A"/>
              <w:right w:val="single" w:sz="4" w:space="0" w:color="00000A"/>
            </w:tcBorders>
          </w:tcPr>
          <w:p w14:paraId="73F9D111"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
                <w:sz w:val="16"/>
                <w:szCs w:val="16"/>
                <w:lang w:val="en-GB"/>
              </w:rPr>
            </w:pPr>
            <w:r w:rsidRPr="004115A1">
              <w:rPr>
                <w:rFonts w:ascii="Arial" w:eastAsia="Calibri" w:hAnsi="Arial" w:cs="Arial"/>
                <w:b/>
                <w:sz w:val="16"/>
                <w:szCs w:val="16"/>
                <w:lang w:val="en-GB"/>
              </w:rPr>
              <w:t>Milestones Activities</w:t>
            </w:r>
          </w:p>
          <w:p w14:paraId="51D65DCE"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p>
          <w:p w14:paraId="27D97F94" w14:textId="77777777" w:rsidR="004D00A8" w:rsidRPr="004115A1" w:rsidRDefault="004D00A8">
            <w:pPr>
              <w:rPr>
                <w:rFonts w:ascii="Arial" w:hAnsi="Arial" w:cs="Arial"/>
                <w:b/>
                <w:sz w:val="16"/>
                <w:szCs w:val="16"/>
              </w:rPr>
            </w:pPr>
            <w:r w:rsidRPr="004115A1">
              <w:rPr>
                <w:rFonts w:ascii="Arial" w:eastAsia="Calibri" w:hAnsi="Arial" w:cs="Arial"/>
                <w:b/>
                <w:bCs/>
                <w:sz w:val="16"/>
                <w:szCs w:val="16"/>
                <w:lang w:val="en-GB"/>
              </w:rPr>
              <w:t xml:space="preserve"> 2.5.1.1</w:t>
            </w:r>
            <w:r w:rsidRPr="004115A1">
              <w:rPr>
                <w:rFonts w:ascii="Arial" w:eastAsia="Calibri" w:hAnsi="Arial" w:cs="Arial"/>
                <w:bCs/>
                <w:sz w:val="16"/>
                <w:szCs w:val="16"/>
                <w:lang w:val="en-GB"/>
              </w:rPr>
              <w:t>: Minister of Finance and Minister of Energy to engage Ghana National Petroleum Cooperation on modalities for making sales contract public by June 2023</w:t>
            </w:r>
          </w:p>
        </w:tc>
        <w:tc>
          <w:tcPr>
            <w:tcW w:w="1230" w:type="dxa"/>
            <w:tcBorders>
              <w:top w:val="single" w:sz="4" w:space="0" w:color="00000A"/>
              <w:left w:val="single" w:sz="4" w:space="0" w:color="00000A"/>
              <w:bottom w:val="single" w:sz="4" w:space="0" w:color="00000A"/>
              <w:right w:val="single" w:sz="4" w:space="0" w:color="00000A"/>
            </w:tcBorders>
          </w:tcPr>
          <w:p w14:paraId="5E001F24" w14:textId="77777777" w:rsidR="004D00A8" w:rsidRPr="004115A1" w:rsidRDefault="004D00A8">
            <w:pPr>
              <w:widowControl w:val="0"/>
              <w:suppressAutoHyphens/>
              <w:rPr>
                <w:rFonts w:ascii="Arial" w:eastAsia="Calibri" w:hAnsi="Arial" w:cs="Arial"/>
                <w:sz w:val="16"/>
                <w:szCs w:val="16"/>
              </w:rPr>
            </w:pPr>
          </w:p>
          <w:p w14:paraId="45B781C4" w14:textId="77777777" w:rsidR="004D00A8" w:rsidRPr="004115A1" w:rsidRDefault="004D00A8">
            <w:pPr>
              <w:widowControl w:val="0"/>
              <w:suppressAutoHyphens/>
              <w:rPr>
                <w:rFonts w:ascii="Arial" w:eastAsia="Calibri" w:hAnsi="Arial" w:cs="Arial"/>
                <w:sz w:val="16"/>
                <w:szCs w:val="16"/>
              </w:rPr>
            </w:pPr>
          </w:p>
          <w:p w14:paraId="2BFA264E" w14:textId="77777777" w:rsidR="004D00A8" w:rsidRPr="004115A1" w:rsidRDefault="004D00A8">
            <w:pPr>
              <w:widowControl w:val="0"/>
              <w:suppressAutoHyphens/>
              <w:rPr>
                <w:rFonts w:ascii="Arial" w:eastAsia="Calibri" w:hAnsi="Arial" w:cs="Arial"/>
                <w:sz w:val="16"/>
                <w:szCs w:val="16"/>
              </w:rPr>
            </w:pPr>
            <w:r w:rsidRPr="004115A1">
              <w:rPr>
                <w:rFonts w:ascii="Arial" w:eastAsia="Calibri" w:hAnsi="Arial" w:cs="Arial"/>
                <w:sz w:val="16"/>
                <w:szCs w:val="16"/>
              </w:rPr>
              <w:t>The Minister for Finance and Minister for Energy have engaged National Petroleum Corporation to make sales contracts public</w:t>
            </w:r>
          </w:p>
          <w:p w14:paraId="369C399B" w14:textId="77777777" w:rsidR="004D00A8" w:rsidRPr="004115A1" w:rsidRDefault="004D00A8">
            <w:pPr>
              <w:widowControl w:val="0"/>
              <w:suppressAutoHyphens/>
              <w:rPr>
                <w:rFonts w:ascii="Arial" w:eastAsia="Calibri" w:hAnsi="Arial" w:cs="Arial"/>
                <w:sz w:val="16"/>
                <w:szCs w:val="16"/>
              </w:rPr>
            </w:pPr>
          </w:p>
          <w:p w14:paraId="225ABCC9" w14:textId="77777777" w:rsidR="004D00A8" w:rsidRPr="004115A1" w:rsidRDefault="004D00A8">
            <w:pPr>
              <w:widowControl w:val="0"/>
              <w:suppressAutoHyphens/>
              <w:rPr>
                <w:rFonts w:ascii="Arial" w:eastAsia="Calibri" w:hAnsi="Arial" w:cs="Arial"/>
                <w:sz w:val="16"/>
                <w:szCs w:val="16"/>
              </w:rPr>
            </w:pPr>
          </w:p>
          <w:p w14:paraId="0E093DD2" w14:textId="77777777" w:rsidR="004D00A8" w:rsidRPr="004115A1" w:rsidRDefault="004D00A8">
            <w:pPr>
              <w:widowControl w:val="0"/>
              <w:suppressAutoHyphens/>
              <w:rPr>
                <w:rFonts w:ascii="Arial" w:eastAsia="Calibri" w:hAnsi="Arial" w:cs="Arial"/>
                <w:sz w:val="16"/>
                <w:szCs w:val="16"/>
              </w:rPr>
            </w:pPr>
            <w:r w:rsidRPr="004115A1">
              <w:rPr>
                <w:rFonts w:ascii="Arial" w:eastAsia="Calibri" w:hAnsi="Arial" w:cs="Arial"/>
                <w:sz w:val="16"/>
                <w:szCs w:val="16"/>
              </w:rPr>
              <w:t>(Yes, No)</w:t>
            </w:r>
          </w:p>
          <w:p w14:paraId="139549C1" w14:textId="77777777" w:rsidR="004D00A8" w:rsidRPr="004115A1" w:rsidRDefault="004D00A8">
            <w:pPr>
              <w:rPr>
                <w:rFonts w:ascii="Arial" w:hAnsi="Arial" w:cs="Arial"/>
                <w:sz w:val="16"/>
                <w:szCs w:val="16"/>
              </w:rPr>
            </w:pPr>
          </w:p>
        </w:tc>
        <w:tc>
          <w:tcPr>
            <w:tcW w:w="1227" w:type="dxa"/>
            <w:tcBorders>
              <w:top w:val="single" w:sz="4" w:space="0" w:color="00000A"/>
              <w:left w:val="single" w:sz="4" w:space="0" w:color="00000A"/>
              <w:bottom w:val="single" w:sz="4" w:space="0" w:color="00000A"/>
              <w:right w:val="single" w:sz="4" w:space="0" w:color="00000A"/>
            </w:tcBorders>
          </w:tcPr>
          <w:p w14:paraId="613B27E2" w14:textId="77777777" w:rsidR="004D00A8" w:rsidRPr="004115A1" w:rsidRDefault="004D00A8">
            <w:pPr>
              <w:widowControl w:val="0"/>
              <w:suppressAutoHyphens/>
              <w:kinsoku w:val="0"/>
              <w:overflowPunct w:val="0"/>
              <w:autoSpaceDE w:val="0"/>
              <w:autoSpaceDN w:val="0"/>
              <w:adjustRightInd w:val="0"/>
              <w:rPr>
                <w:rFonts w:ascii="Arial" w:eastAsia="Calibri" w:hAnsi="Arial" w:cs="Arial"/>
                <w:sz w:val="16"/>
                <w:szCs w:val="16"/>
                <w:lang w:val="en-GB"/>
              </w:rPr>
            </w:pPr>
          </w:p>
          <w:p w14:paraId="357600D7" w14:textId="77777777" w:rsidR="004D00A8" w:rsidRPr="004115A1" w:rsidRDefault="004D00A8">
            <w:pPr>
              <w:widowControl w:val="0"/>
              <w:suppressAutoHyphens/>
              <w:kinsoku w:val="0"/>
              <w:overflowPunct w:val="0"/>
              <w:autoSpaceDE w:val="0"/>
              <w:autoSpaceDN w:val="0"/>
              <w:adjustRightInd w:val="0"/>
              <w:rPr>
                <w:rFonts w:ascii="Arial" w:eastAsia="Calibri" w:hAnsi="Arial" w:cs="Arial"/>
                <w:sz w:val="16"/>
                <w:szCs w:val="16"/>
                <w:lang w:val="en-GB"/>
              </w:rPr>
            </w:pPr>
          </w:p>
          <w:p w14:paraId="0B0AF5A0"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The indicator captures measures taken by the Ministry of Finance to make petroleum sales transparent</w:t>
            </w:r>
          </w:p>
        </w:tc>
        <w:tc>
          <w:tcPr>
            <w:tcW w:w="930" w:type="dxa"/>
            <w:tcBorders>
              <w:top w:val="single" w:sz="4" w:space="0" w:color="00000A"/>
              <w:left w:val="single" w:sz="4" w:space="0" w:color="00000A"/>
              <w:bottom w:val="single" w:sz="4" w:space="0" w:color="00000A"/>
              <w:right w:val="single" w:sz="4" w:space="0" w:color="00000A"/>
            </w:tcBorders>
          </w:tcPr>
          <w:p w14:paraId="3E7DB379"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p>
          <w:p w14:paraId="775AF335"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p>
          <w:p w14:paraId="773138AE"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r w:rsidRPr="004115A1">
              <w:rPr>
                <w:rFonts w:ascii="Arial" w:eastAsia="Calibri" w:hAnsi="Arial" w:cs="Arial"/>
                <w:bCs/>
                <w:sz w:val="16"/>
                <w:szCs w:val="16"/>
                <w:lang w:val="en-GB"/>
              </w:rPr>
              <w:t>No</w:t>
            </w:r>
          </w:p>
          <w:p w14:paraId="365851F0"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p>
          <w:p w14:paraId="754C3F39" w14:textId="77777777" w:rsidR="004D00A8" w:rsidRPr="004115A1" w:rsidRDefault="004D00A8">
            <w:pPr>
              <w:rPr>
                <w:rFonts w:ascii="Arial" w:hAnsi="Arial" w:cs="Arial"/>
                <w:sz w:val="16"/>
                <w:szCs w:val="16"/>
              </w:rPr>
            </w:pPr>
          </w:p>
        </w:tc>
        <w:tc>
          <w:tcPr>
            <w:tcW w:w="1159" w:type="dxa"/>
            <w:tcBorders>
              <w:top w:val="single" w:sz="4" w:space="0" w:color="00000A"/>
              <w:left w:val="single" w:sz="4" w:space="0" w:color="00000A"/>
              <w:bottom w:val="single" w:sz="4" w:space="0" w:color="00000A"/>
              <w:right w:val="single" w:sz="4" w:space="0" w:color="00000A"/>
            </w:tcBorders>
          </w:tcPr>
          <w:p w14:paraId="09226226" w14:textId="77777777" w:rsidR="004D00A8" w:rsidRPr="004115A1" w:rsidRDefault="004D00A8">
            <w:pPr>
              <w:rPr>
                <w:rFonts w:ascii="Arial" w:hAnsi="Arial" w:cs="Arial"/>
                <w:sz w:val="16"/>
                <w:szCs w:val="16"/>
              </w:rPr>
            </w:pPr>
          </w:p>
        </w:tc>
        <w:tc>
          <w:tcPr>
            <w:tcW w:w="1951" w:type="dxa"/>
            <w:tcBorders>
              <w:top w:val="single" w:sz="4" w:space="0" w:color="00000A"/>
              <w:left w:val="single" w:sz="4" w:space="0" w:color="00000A"/>
              <w:bottom w:val="single" w:sz="4" w:space="0" w:color="00000A"/>
              <w:right w:val="single" w:sz="4" w:space="0" w:color="00000A"/>
            </w:tcBorders>
          </w:tcPr>
          <w:p w14:paraId="071C09C6" w14:textId="77777777" w:rsidR="004D00A8" w:rsidRPr="004115A1" w:rsidRDefault="004D00A8">
            <w:pPr>
              <w:widowControl w:val="0"/>
              <w:suppressAutoHyphens/>
              <w:kinsoku w:val="0"/>
              <w:overflowPunct w:val="0"/>
              <w:autoSpaceDE w:val="0"/>
              <w:autoSpaceDN w:val="0"/>
              <w:adjustRightInd w:val="0"/>
              <w:rPr>
                <w:rFonts w:ascii="Arial" w:eastAsia="Calibri" w:hAnsi="Arial" w:cs="Arial"/>
                <w:bCs/>
                <w:sz w:val="16"/>
                <w:szCs w:val="16"/>
                <w:lang w:val="en-GB"/>
              </w:rPr>
            </w:pPr>
          </w:p>
          <w:p w14:paraId="59AFACB9"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Since Ministry of Energy is in charge of policy issues regarding oil production in Ghana and also GNPC falls under them (Ministry of Energy), it will be prudent to engage both parties (Ministry of Energy and GNPC to assist in this matter.</w:t>
            </w:r>
          </w:p>
        </w:tc>
        <w:tc>
          <w:tcPr>
            <w:tcW w:w="2221" w:type="dxa"/>
            <w:tcBorders>
              <w:top w:val="single" w:sz="4" w:space="0" w:color="00000A"/>
              <w:left w:val="single" w:sz="4" w:space="0" w:color="00000A"/>
              <w:bottom w:val="single" w:sz="4" w:space="0" w:color="00000A"/>
              <w:right w:val="single" w:sz="4" w:space="0" w:color="00000A"/>
            </w:tcBorders>
          </w:tcPr>
          <w:p w14:paraId="43820D19" w14:textId="7DA3A1DF" w:rsidR="004D00A8" w:rsidRPr="004115A1" w:rsidRDefault="004115A1">
            <w:pPr>
              <w:widowControl w:val="0"/>
              <w:suppressAutoHyphens/>
              <w:kinsoku w:val="0"/>
              <w:overflowPunct w:val="0"/>
              <w:autoSpaceDE w:val="0"/>
              <w:autoSpaceDN w:val="0"/>
              <w:adjustRightInd w:val="0"/>
              <w:rPr>
                <w:rFonts w:ascii="Arial" w:hAnsi="Arial" w:cs="Arial"/>
                <w:sz w:val="16"/>
                <w:szCs w:val="16"/>
              </w:rPr>
            </w:pPr>
            <w:r w:rsidRPr="004115A1">
              <w:rPr>
                <w:rFonts w:ascii="Arial" w:hAnsi="Arial" w:cs="Arial"/>
                <w:sz w:val="16"/>
                <w:szCs w:val="16"/>
              </w:rPr>
              <w:t xml:space="preserve">PRMA Section 1 and 2.  The Minister for Finance is responsible for the </w:t>
            </w:r>
            <w:r w:rsidRPr="004115A1">
              <w:rPr>
                <w:rFonts w:ascii="Arial" w:hAnsi="Arial" w:cs="Arial"/>
                <w:b/>
                <w:bCs/>
                <w:sz w:val="16"/>
                <w:szCs w:val="16"/>
              </w:rPr>
              <w:t>management</w:t>
            </w:r>
            <w:r w:rsidRPr="004115A1">
              <w:rPr>
                <w:rFonts w:ascii="Arial" w:hAnsi="Arial" w:cs="Arial"/>
                <w:sz w:val="16"/>
                <w:szCs w:val="16"/>
              </w:rPr>
              <w:t xml:space="preserve"> of the petroleum revenue and not the sales, contracts etc.  Those issues are managed by Petroleum Commission, GNPC and the Ministry of Energy.</w:t>
            </w:r>
          </w:p>
          <w:p w14:paraId="71FC2E35" w14:textId="77777777" w:rsidR="004115A1" w:rsidRPr="004115A1" w:rsidRDefault="004115A1">
            <w:pPr>
              <w:widowControl w:val="0"/>
              <w:suppressAutoHyphens/>
              <w:kinsoku w:val="0"/>
              <w:overflowPunct w:val="0"/>
              <w:autoSpaceDE w:val="0"/>
              <w:autoSpaceDN w:val="0"/>
              <w:adjustRightInd w:val="0"/>
              <w:rPr>
                <w:rFonts w:ascii="Arial" w:eastAsia="Calibri" w:hAnsi="Arial" w:cs="Arial"/>
                <w:sz w:val="16"/>
                <w:szCs w:val="16"/>
                <w:lang w:val="en-GB"/>
              </w:rPr>
            </w:pPr>
          </w:p>
          <w:p w14:paraId="6F3D5464" w14:textId="77777777" w:rsidR="004D00A8" w:rsidRPr="004115A1" w:rsidRDefault="004D00A8">
            <w:pPr>
              <w:rPr>
                <w:rFonts w:ascii="Arial" w:hAnsi="Arial" w:cs="Arial"/>
                <w:i/>
                <w:iCs/>
                <w:sz w:val="16"/>
                <w:szCs w:val="16"/>
              </w:rPr>
            </w:pPr>
            <w:r w:rsidRPr="004115A1">
              <w:rPr>
                <w:rFonts w:ascii="Arial" w:eastAsia="Calibri" w:hAnsi="Arial" w:cs="Arial"/>
                <w:i/>
                <w:iCs/>
                <w:sz w:val="16"/>
                <w:szCs w:val="16"/>
                <w:lang w:val="en-GB"/>
              </w:rPr>
              <w:t xml:space="preserve">All the modalities used by GNPC in the process of selling crude oil to </w:t>
            </w:r>
            <w:proofErr w:type="spellStart"/>
            <w:r w:rsidRPr="004115A1">
              <w:rPr>
                <w:rFonts w:ascii="Arial" w:eastAsia="Calibri" w:hAnsi="Arial" w:cs="Arial"/>
                <w:i/>
                <w:iCs/>
                <w:sz w:val="16"/>
                <w:szCs w:val="16"/>
                <w:lang w:val="en-GB"/>
              </w:rPr>
              <w:t>Litasco</w:t>
            </w:r>
            <w:proofErr w:type="spellEnd"/>
            <w:r w:rsidRPr="004115A1">
              <w:rPr>
                <w:rFonts w:ascii="Arial" w:eastAsia="Calibri" w:hAnsi="Arial" w:cs="Arial"/>
                <w:i/>
                <w:iCs/>
                <w:sz w:val="16"/>
                <w:szCs w:val="16"/>
                <w:lang w:val="en-GB"/>
              </w:rPr>
              <w:t xml:space="preserve"> of Russia and </w:t>
            </w:r>
            <w:proofErr w:type="spellStart"/>
            <w:r w:rsidRPr="004115A1">
              <w:rPr>
                <w:rFonts w:ascii="Arial" w:eastAsia="Calibri" w:hAnsi="Arial" w:cs="Arial"/>
                <w:i/>
                <w:iCs/>
                <w:sz w:val="16"/>
                <w:szCs w:val="16"/>
                <w:lang w:val="en-GB"/>
              </w:rPr>
              <w:t>Unipec</w:t>
            </w:r>
            <w:proofErr w:type="spellEnd"/>
            <w:r w:rsidRPr="004115A1">
              <w:rPr>
                <w:rFonts w:ascii="Arial" w:eastAsia="Calibri" w:hAnsi="Arial" w:cs="Arial"/>
                <w:i/>
                <w:iCs/>
                <w:sz w:val="16"/>
                <w:szCs w:val="16"/>
                <w:lang w:val="en-GB"/>
              </w:rPr>
              <w:t xml:space="preserve"> Asia are with the Ministry of Energy and GNPC.</w:t>
            </w:r>
          </w:p>
        </w:tc>
        <w:tc>
          <w:tcPr>
            <w:tcW w:w="1405" w:type="dxa"/>
            <w:tcBorders>
              <w:top w:val="single" w:sz="4" w:space="0" w:color="00000A"/>
              <w:left w:val="single" w:sz="4" w:space="0" w:color="00000A"/>
              <w:bottom w:val="single" w:sz="4" w:space="0" w:color="00000A"/>
              <w:right w:val="single" w:sz="4" w:space="0" w:color="00000A"/>
            </w:tcBorders>
          </w:tcPr>
          <w:p w14:paraId="1EDB7824" w14:textId="77777777" w:rsidR="004D00A8" w:rsidRPr="004115A1" w:rsidRDefault="004D00A8">
            <w:pPr>
              <w:suppressAutoHyphens/>
              <w:rPr>
                <w:rFonts w:ascii="Arial" w:eastAsia="Calibri" w:hAnsi="Arial" w:cs="Arial"/>
                <w:sz w:val="16"/>
                <w:szCs w:val="16"/>
                <w:lang w:val="en-GB"/>
              </w:rPr>
            </w:pPr>
          </w:p>
          <w:p w14:paraId="649CC1A3"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Officially write to the Ministry of Energy and GNPC for any assistance/ clarification.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D6BC5" w14:textId="77777777" w:rsidR="004D00A8" w:rsidRPr="004115A1" w:rsidRDefault="004D00A8">
            <w:pPr>
              <w:rPr>
                <w:rFonts w:ascii="Arial" w:hAnsi="Arial" w:cs="Arial"/>
                <w:sz w:val="16"/>
                <w:szCs w:val="16"/>
              </w:rPr>
            </w:pPr>
          </w:p>
        </w:tc>
      </w:tr>
      <w:tr w:rsidR="004115A1" w:rsidRPr="004115A1" w14:paraId="13B0E82E" w14:textId="77777777" w:rsidTr="004D00A8">
        <w:trPr>
          <w:trHeight w:val="266"/>
        </w:trPr>
        <w:tc>
          <w:tcPr>
            <w:tcW w:w="2163" w:type="dxa"/>
            <w:tcBorders>
              <w:top w:val="single" w:sz="4" w:space="0" w:color="00000A"/>
              <w:left w:val="single" w:sz="4" w:space="0" w:color="00000A"/>
              <w:bottom w:val="single" w:sz="4" w:space="0" w:color="00000A"/>
              <w:right w:val="single" w:sz="4" w:space="0" w:color="00000A"/>
            </w:tcBorders>
            <w:hideMark/>
          </w:tcPr>
          <w:p w14:paraId="542D0CAE" w14:textId="77777777" w:rsidR="004D00A8" w:rsidRPr="004115A1" w:rsidRDefault="004D00A8">
            <w:pPr>
              <w:rPr>
                <w:rFonts w:ascii="Arial" w:hAnsi="Arial" w:cs="Arial"/>
                <w:b/>
                <w:sz w:val="16"/>
                <w:szCs w:val="16"/>
              </w:rPr>
            </w:pPr>
            <w:r w:rsidRPr="004115A1">
              <w:rPr>
                <w:rFonts w:ascii="Arial" w:eastAsia="Calibri" w:hAnsi="Arial" w:cs="Arial"/>
                <w:b/>
                <w:sz w:val="16"/>
                <w:szCs w:val="16"/>
                <w:lang w:val="en-GB"/>
              </w:rPr>
              <w:t xml:space="preserve"> 2.5.1.2:  </w:t>
            </w:r>
            <w:r w:rsidRPr="004115A1">
              <w:rPr>
                <w:rFonts w:ascii="Arial" w:eastAsia="Calibri" w:hAnsi="Arial" w:cs="Arial"/>
                <w:bCs/>
                <w:sz w:val="16"/>
                <w:szCs w:val="16"/>
                <w:lang w:val="en-GB"/>
              </w:rPr>
              <w:t>Minister of Finance makes sales contract public after necessary consultations by June 2023</w:t>
            </w:r>
          </w:p>
        </w:tc>
        <w:tc>
          <w:tcPr>
            <w:tcW w:w="1230" w:type="dxa"/>
            <w:tcBorders>
              <w:top w:val="single" w:sz="4" w:space="0" w:color="00000A"/>
              <w:left w:val="single" w:sz="4" w:space="0" w:color="00000A"/>
              <w:bottom w:val="single" w:sz="4" w:space="0" w:color="00000A"/>
              <w:right w:val="single" w:sz="4" w:space="0" w:color="00000A"/>
            </w:tcBorders>
            <w:hideMark/>
          </w:tcPr>
          <w:p w14:paraId="5F4C44A1" w14:textId="77777777" w:rsidR="004D00A8" w:rsidRPr="004115A1" w:rsidRDefault="004D00A8">
            <w:pPr>
              <w:widowControl w:val="0"/>
              <w:suppressAutoHyphens/>
              <w:rPr>
                <w:rFonts w:ascii="Arial" w:eastAsia="Calibri" w:hAnsi="Arial" w:cs="Arial"/>
                <w:bCs/>
                <w:sz w:val="16"/>
                <w:szCs w:val="16"/>
                <w:lang w:val="en-GB"/>
              </w:rPr>
            </w:pPr>
            <w:r w:rsidRPr="004115A1">
              <w:rPr>
                <w:rFonts w:ascii="Arial" w:eastAsia="Calibri" w:hAnsi="Arial" w:cs="Arial"/>
                <w:bCs/>
                <w:sz w:val="16"/>
                <w:szCs w:val="16"/>
                <w:lang w:val="en-GB"/>
              </w:rPr>
              <w:t>The Minister of Finance takes measures to make petroleum sales contracts public after necessary consultation</w:t>
            </w:r>
          </w:p>
          <w:p w14:paraId="0BF1B107" w14:textId="77777777" w:rsidR="004D00A8" w:rsidRPr="004115A1" w:rsidRDefault="004D00A8">
            <w:pPr>
              <w:rPr>
                <w:rFonts w:ascii="Arial" w:hAnsi="Arial" w:cs="Arial"/>
                <w:sz w:val="16"/>
                <w:szCs w:val="16"/>
              </w:rPr>
            </w:pPr>
            <w:r w:rsidRPr="004115A1">
              <w:rPr>
                <w:rFonts w:ascii="Arial" w:eastAsia="Calibri" w:hAnsi="Arial" w:cs="Arial"/>
                <w:bCs/>
                <w:sz w:val="16"/>
                <w:szCs w:val="16"/>
                <w:lang w:val="en-GB"/>
              </w:rPr>
              <w:t>(Yes, No)</w:t>
            </w:r>
          </w:p>
        </w:tc>
        <w:tc>
          <w:tcPr>
            <w:tcW w:w="1227" w:type="dxa"/>
            <w:tcBorders>
              <w:top w:val="single" w:sz="4" w:space="0" w:color="00000A"/>
              <w:left w:val="single" w:sz="4" w:space="0" w:color="00000A"/>
              <w:bottom w:val="single" w:sz="4" w:space="0" w:color="00000A"/>
              <w:right w:val="single" w:sz="4" w:space="0" w:color="00000A"/>
            </w:tcBorders>
            <w:hideMark/>
          </w:tcPr>
          <w:p w14:paraId="52211988" w14:textId="77777777" w:rsidR="004D00A8" w:rsidRPr="004115A1" w:rsidRDefault="004D00A8">
            <w:pPr>
              <w:rPr>
                <w:rFonts w:ascii="Arial" w:hAnsi="Arial" w:cs="Arial"/>
                <w:sz w:val="16"/>
                <w:szCs w:val="16"/>
              </w:rPr>
            </w:pPr>
            <w:r w:rsidRPr="004115A1">
              <w:rPr>
                <w:rFonts w:ascii="Arial" w:eastAsia="Calibri" w:hAnsi="Arial" w:cs="Arial"/>
                <w:bCs/>
                <w:sz w:val="16"/>
                <w:szCs w:val="16"/>
                <w:lang w:val="en-GB"/>
              </w:rPr>
              <w:t>The indicator captures measures taken by the Ministry of Finance to make petroleum sales transparent</w:t>
            </w:r>
          </w:p>
        </w:tc>
        <w:tc>
          <w:tcPr>
            <w:tcW w:w="930" w:type="dxa"/>
            <w:tcBorders>
              <w:top w:val="single" w:sz="4" w:space="0" w:color="00000A"/>
              <w:left w:val="single" w:sz="4" w:space="0" w:color="00000A"/>
              <w:bottom w:val="single" w:sz="4" w:space="0" w:color="00000A"/>
              <w:right w:val="single" w:sz="4" w:space="0" w:color="00000A"/>
            </w:tcBorders>
            <w:hideMark/>
          </w:tcPr>
          <w:p w14:paraId="5ADD54E4" w14:textId="77777777" w:rsidR="004D00A8" w:rsidRPr="004115A1" w:rsidRDefault="004D00A8">
            <w:pPr>
              <w:rPr>
                <w:rFonts w:ascii="Arial" w:hAnsi="Arial" w:cs="Arial"/>
                <w:sz w:val="16"/>
                <w:szCs w:val="16"/>
              </w:rPr>
            </w:pPr>
            <w:r w:rsidRPr="004115A1">
              <w:rPr>
                <w:rFonts w:ascii="Arial" w:eastAsia="Calibri" w:hAnsi="Arial" w:cs="Arial"/>
                <w:bCs/>
                <w:sz w:val="16"/>
                <w:szCs w:val="16"/>
                <w:lang w:val="en-GB"/>
              </w:rPr>
              <w:t>No</w:t>
            </w:r>
          </w:p>
        </w:tc>
        <w:tc>
          <w:tcPr>
            <w:tcW w:w="1159" w:type="dxa"/>
            <w:tcBorders>
              <w:top w:val="single" w:sz="4" w:space="0" w:color="00000A"/>
              <w:left w:val="single" w:sz="4" w:space="0" w:color="00000A"/>
              <w:bottom w:val="single" w:sz="4" w:space="0" w:color="00000A"/>
              <w:right w:val="single" w:sz="4" w:space="0" w:color="00000A"/>
            </w:tcBorders>
          </w:tcPr>
          <w:p w14:paraId="780E8A8A" w14:textId="77777777" w:rsidR="004D00A8" w:rsidRPr="004115A1" w:rsidRDefault="004D00A8">
            <w:pPr>
              <w:rPr>
                <w:rFonts w:ascii="Arial" w:hAnsi="Arial" w:cs="Arial"/>
                <w:sz w:val="16"/>
                <w:szCs w:val="16"/>
              </w:rPr>
            </w:pPr>
          </w:p>
        </w:tc>
        <w:tc>
          <w:tcPr>
            <w:tcW w:w="1951" w:type="dxa"/>
            <w:tcBorders>
              <w:top w:val="single" w:sz="4" w:space="0" w:color="00000A"/>
              <w:left w:val="single" w:sz="4" w:space="0" w:color="00000A"/>
              <w:bottom w:val="single" w:sz="4" w:space="0" w:color="00000A"/>
              <w:right w:val="single" w:sz="4" w:space="0" w:color="00000A"/>
            </w:tcBorders>
            <w:hideMark/>
          </w:tcPr>
          <w:p w14:paraId="60E5B68F" w14:textId="77777777" w:rsidR="004D00A8" w:rsidRPr="004115A1" w:rsidRDefault="004D00A8">
            <w:pPr>
              <w:rPr>
                <w:rFonts w:ascii="Arial" w:hAnsi="Arial" w:cs="Arial"/>
                <w:sz w:val="16"/>
                <w:szCs w:val="16"/>
              </w:rPr>
            </w:pPr>
            <w:r w:rsidRPr="004115A1">
              <w:rPr>
                <w:rFonts w:ascii="Arial" w:eastAsia="Calibri" w:hAnsi="Arial" w:cs="Arial"/>
                <w:bCs/>
                <w:sz w:val="16"/>
                <w:szCs w:val="16"/>
                <w:lang w:val="en-GB"/>
              </w:rPr>
              <w:t xml:space="preserve">Making sales of crude oil contract public is a policy issue and therefore a responsibility of both the Ministry of Energy and GNPC. Ministry of Finance does not have that mandate. </w:t>
            </w:r>
          </w:p>
        </w:tc>
        <w:tc>
          <w:tcPr>
            <w:tcW w:w="2221" w:type="dxa"/>
            <w:tcBorders>
              <w:top w:val="single" w:sz="4" w:space="0" w:color="00000A"/>
              <w:left w:val="single" w:sz="4" w:space="0" w:color="00000A"/>
              <w:bottom w:val="single" w:sz="4" w:space="0" w:color="00000A"/>
              <w:right w:val="single" w:sz="4" w:space="0" w:color="00000A"/>
            </w:tcBorders>
            <w:hideMark/>
          </w:tcPr>
          <w:p w14:paraId="68023BFB" w14:textId="77777777" w:rsidR="004115A1" w:rsidRPr="004115A1" w:rsidRDefault="004115A1">
            <w:pPr>
              <w:rPr>
                <w:rFonts w:ascii="Arial" w:eastAsia="Calibri" w:hAnsi="Arial" w:cs="Arial"/>
                <w:b/>
                <w:i/>
                <w:iCs/>
                <w:sz w:val="16"/>
                <w:szCs w:val="16"/>
                <w:lang w:val="en-GB"/>
              </w:rPr>
            </w:pPr>
            <w:r w:rsidRPr="004115A1">
              <w:rPr>
                <w:rFonts w:ascii="Arial" w:eastAsia="Calibri" w:hAnsi="Arial" w:cs="Arial"/>
                <w:b/>
                <w:i/>
                <w:iCs/>
                <w:sz w:val="16"/>
                <w:szCs w:val="16"/>
                <w:lang w:val="en-GB"/>
              </w:rPr>
              <w:t xml:space="preserve">Comment: </w:t>
            </w:r>
          </w:p>
          <w:p w14:paraId="6799717A" w14:textId="79345733" w:rsidR="004D00A8" w:rsidRPr="004115A1" w:rsidRDefault="004D00A8">
            <w:pPr>
              <w:rPr>
                <w:rFonts w:ascii="Arial" w:hAnsi="Arial" w:cs="Arial"/>
                <w:i/>
                <w:iCs/>
                <w:sz w:val="16"/>
                <w:szCs w:val="16"/>
              </w:rPr>
            </w:pPr>
            <w:r w:rsidRPr="004115A1">
              <w:rPr>
                <w:rFonts w:ascii="Arial" w:eastAsia="Calibri" w:hAnsi="Arial" w:cs="Arial"/>
                <w:bCs/>
                <w:i/>
                <w:iCs/>
                <w:sz w:val="16"/>
                <w:szCs w:val="16"/>
                <w:lang w:val="en-GB"/>
              </w:rPr>
              <w:t>Officially write to both GNPC and the Ministry of Energy for explanation/clarification.</w:t>
            </w:r>
          </w:p>
        </w:tc>
        <w:tc>
          <w:tcPr>
            <w:tcW w:w="1405" w:type="dxa"/>
            <w:tcBorders>
              <w:top w:val="single" w:sz="4" w:space="0" w:color="00000A"/>
              <w:left w:val="single" w:sz="4" w:space="0" w:color="00000A"/>
              <w:bottom w:val="single" w:sz="4" w:space="0" w:color="00000A"/>
              <w:right w:val="single" w:sz="4" w:space="0" w:color="00000A"/>
            </w:tcBorders>
            <w:hideMark/>
          </w:tcPr>
          <w:p w14:paraId="04A333E2" w14:textId="77777777" w:rsidR="004D00A8" w:rsidRPr="004115A1" w:rsidRDefault="004D00A8">
            <w:pPr>
              <w:rPr>
                <w:rFonts w:ascii="Arial" w:hAnsi="Arial" w:cs="Arial"/>
                <w:sz w:val="16"/>
                <w:szCs w:val="16"/>
              </w:rPr>
            </w:pPr>
            <w:r w:rsidRPr="004115A1">
              <w:rPr>
                <w:rFonts w:ascii="Arial" w:eastAsia="Calibri" w:hAnsi="Arial" w:cs="Arial"/>
                <w:sz w:val="16"/>
                <w:szCs w:val="16"/>
                <w:lang w:val="en-GB"/>
              </w:rPr>
              <w:t xml:space="preserve">These are policy issues and therefore it will be good to engage the Ministry of Energy and GNPC for any explanation/ clarification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A216C" w14:textId="77777777" w:rsidR="004D00A8" w:rsidRPr="004115A1" w:rsidRDefault="004D00A8">
            <w:pPr>
              <w:rPr>
                <w:rFonts w:ascii="Arial" w:hAnsi="Arial" w:cs="Arial"/>
                <w:sz w:val="16"/>
                <w:szCs w:val="16"/>
              </w:rPr>
            </w:pPr>
          </w:p>
        </w:tc>
      </w:tr>
    </w:tbl>
    <w:p w14:paraId="2E4CBC3B" w14:textId="77777777" w:rsidR="004D00A8" w:rsidRDefault="004D00A8"/>
    <w:sectPr w:rsidR="004D00A8" w:rsidSect="00224F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1A"/>
    <w:rsid w:val="00070AB6"/>
    <w:rsid w:val="000B1CBC"/>
    <w:rsid w:val="000B7FD2"/>
    <w:rsid w:val="000E7F56"/>
    <w:rsid w:val="00171F63"/>
    <w:rsid w:val="00210EBB"/>
    <w:rsid w:val="0021747D"/>
    <w:rsid w:val="00224F1A"/>
    <w:rsid w:val="00294566"/>
    <w:rsid w:val="003453DE"/>
    <w:rsid w:val="004115A1"/>
    <w:rsid w:val="004A1F4C"/>
    <w:rsid w:val="004D00A8"/>
    <w:rsid w:val="004E05B6"/>
    <w:rsid w:val="005369B4"/>
    <w:rsid w:val="005720C3"/>
    <w:rsid w:val="00573652"/>
    <w:rsid w:val="005A1122"/>
    <w:rsid w:val="006A040E"/>
    <w:rsid w:val="006D3F5A"/>
    <w:rsid w:val="0077690A"/>
    <w:rsid w:val="008C5BC5"/>
    <w:rsid w:val="00957456"/>
    <w:rsid w:val="00A53C72"/>
    <w:rsid w:val="00A7570F"/>
    <w:rsid w:val="00A9471E"/>
    <w:rsid w:val="00A95A50"/>
    <w:rsid w:val="00C22594"/>
    <w:rsid w:val="00CF1115"/>
    <w:rsid w:val="00DC0370"/>
    <w:rsid w:val="00E46CEC"/>
    <w:rsid w:val="00E72922"/>
    <w:rsid w:val="00EC2B9F"/>
    <w:rsid w:val="00FB3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0F37"/>
  <w15:chartTrackingRefBased/>
  <w15:docId w15:val="{C03B5CD5-F414-4BEB-B699-9D1F7A1D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2B9F"/>
    <w:pPr>
      <w:spacing w:after="0" w:line="240" w:lineRule="auto"/>
    </w:pPr>
  </w:style>
  <w:style w:type="paragraph" w:styleId="Caption">
    <w:name w:val="caption"/>
    <w:basedOn w:val="Normal"/>
    <w:next w:val="Normal"/>
    <w:uiPriority w:val="35"/>
    <w:semiHidden/>
    <w:unhideWhenUsed/>
    <w:qFormat/>
    <w:rsid w:val="004D00A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1837">
      <w:bodyDiv w:val="1"/>
      <w:marLeft w:val="0"/>
      <w:marRight w:val="0"/>
      <w:marTop w:val="0"/>
      <w:marBottom w:val="0"/>
      <w:divBdr>
        <w:top w:val="none" w:sz="0" w:space="0" w:color="auto"/>
        <w:left w:val="none" w:sz="0" w:space="0" w:color="auto"/>
        <w:bottom w:val="none" w:sz="0" w:space="0" w:color="auto"/>
        <w:right w:val="none" w:sz="0" w:space="0" w:color="auto"/>
      </w:divBdr>
    </w:div>
    <w:div w:id="14594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Zinabu Sahabi</dc:creator>
  <cp:keywords/>
  <dc:description/>
  <cp:lastModifiedBy>Mrs. Thelma Ohene-Asiamah</cp:lastModifiedBy>
  <cp:revision>3</cp:revision>
  <cp:lastPrinted>2023-08-08T11:53:00Z</cp:lastPrinted>
  <dcterms:created xsi:type="dcterms:W3CDTF">2023-08-11T13:13:00Z</dcterms:created>
  <dcterms:modified xsi:type="dcterms:W3CDTF">2023-08-11T13:14:00Z</dcterms:modified>
</cp:coreProperties>
</file>